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2" w:rsidRDefault="00180812" w:rsidP="0018081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80812" w:rsidRDefault="00180812" w:rsidP="0018081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80812" w:rsidRDefault="00180812" w:rsidP="0018081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0812" w:rsidRDefault="00180812" w:rsidP="0018081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0812" w:rsidRDefault="00180812" w:rsidP="0018081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0812" w:rsidRDefault="00180812" w:rsidP="0018081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18.04.2022 № 246</w:t>
      </w:r>
    </w:p>
    <w:p w:rsidR="00180812" w:rsidRDefault="00180812" w:rsidP="0018081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AC221F" w:rsidRDefault="00AC221F" w:rsidP="00AC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21F" w:rsidRDefault="00AC221F" w:rsidP="00AC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952" w:rsidRPr="008169F1" w:rsidRDefault="00467EC7" w:rsidP="00AC22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69F1">
        <w:rPr>
          <w:rFonts w:ascii="Times New Roman" w:hAnsi="Times New Roman" w:cs="Times New Roman"/>
          <w:sz w:val="28"/>
          <w:szCs w:val="28"/>
        </w:rPr>
        <w:t>Об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утверждении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9F1">
        <w:rPr>
          <w:rFonts w:ascii="Times New Roman" w:hAnsi="Times New Roman" w:cs="Times New Roman"/>
          <w:sz w:val="28"/>
          <w:szCs w:val="28"/>
        </w:rPr>
        <w:t>Порядка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подготовки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обоснования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изменений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существенных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контракта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(цены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контракта)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на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выполнение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работ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строительству,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реконструкции,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капитальному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ремонту,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сносу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объекта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капитального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строительства,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проведению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работ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сохранению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объектов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культурного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наследия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в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случае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существенного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изменения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стоимости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строительных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ресурсов</w:t>
      </w:r>
    </w:p>
    <w:p w:rsidR="00562FC0" w:rsidRDefault="00562FC0" w:rsidP="00AC221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066" w:rsidRDefault="00467EC7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9F1">
        <w:rPr>
          <w:rFonts w:ascii="Times New Roman" w:hAnsi="Times New Roman" w:cs="Times New Roman"/>
          <w:sz w:val="28"/>
          <w:szCs w:val="28"/>
        </w:rPr>
        <w:t>В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целях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подготовки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обоснования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изменения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цены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контракта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на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выполнение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работ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строительству,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реконструкции,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капитальному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ремонту,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сносу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объекта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капитального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строительства,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проведению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работ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сохранению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объектов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культурного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наследия,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пунктом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8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части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1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статьи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95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F328D">
        <w:rPr>
          <w:rFonts w:ascii="Times New Roman" w:hAnsi="Times New Roman" w:cs="Times New Roman"/>
          <w:sz w:val="28"/>
          <w:szCs w:val="28"/>
        </w:rPr>
        <w:t>и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F328D">
        <w:rPr>
          <w:rFonts w:ascii="Times New Roman" w:hAnsi="Times New Roman" w:cs="Times New Roman"/>
          <w:sz w:val="28"/>
          <w:szCs w:val="28"/>
        </w:rPr>
        <w:t>частью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F328D">
        <w:rPr>
          <w:rFonts w:ascii="Times New Roman" w:hAnsi="Times New Roman" w:cs="Times New Roman"/>
          <w:sz w:val="28"/>
          <w:szCs w:val="28"/>
        </w:rPr>
        <w:t>70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F328D">
        <w:rPr>
          <w:rFonts w:ascii="Times New Roman" w:hAnsi="Times New Roman" w:cs="Times New Roman"/>
          <w:sz w:val="28"/>
          <w:szCs w:val="28"/>
        </w:rPr>
        <w:t>статьи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F328D">
        <w:rPr>
          <w:rFonts w:ascii="Times New Roman" w:hAnsi="Times New Roman" w:cs="Times New Roman"/>
          <w:sz w:val="28"/>
          <w:szCs w:val="28"/>
        </w:rPr>
        <w:t>112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Федерального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закона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от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05.04.2013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7693F" w:rsidRPr="008169F1">
        <w:rPr>
          <w:rFonts w:ascii="Times New Roman" w:hAnsi="Times New Roman" w:cs="Times New Roman"/>
          <w:sz w:val="28"/>
          <w:szCs w:val="28"/>
        </w:rPr>
        <w:t>№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44-ФЗ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«О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контрактной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системе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в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сфере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закупок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товаров,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работ,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услуг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для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обеспечения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государственных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и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муниципальных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нужд»</w:t>
      </w:r>
      <w:r w:rsidR="00704096" w:rsidRPr="008169F1">
        <w:rPr>
          <w:rFonts w:ascii="Times New Roman" w:hAnsi="Times New Roman" w:cs="Times New Roman"/>
          <w:sz w:val="28"/>
          <w:szCs w:val="28"/>
        </w:rPr>
        <w:t>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04096" w:rsidRPr="008169F1">
        <w:rPr>
          <w:rFonts w:ascii="Times New Roman" w:hAnsi="Times New Roman" w:cs="Times New Roman"/>
          <w:sz w:val="28"/>
          <w:szCs w:val="28"/>
        </w:rPr>
        <w:t>руководствуясь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Постановлени</w:t>
      </w:r>
      <w:r w:rsidR="00704096" w:rsidRPr="008169F1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Правительства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Российской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Федерации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от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09.08.2021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№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1315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«О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внесении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изменений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в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некоторые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акты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Правительства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Российской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92FBA" w:rsidRPr="008169F1">
        <w:rPr>
          <w:rFonts w:ascii="Times New Roman" w:hAnsi="Times New Roman" w:cs="Times New Roman"/>
          <w:sz w:val="28"/>
          <w:szCs w:val="28"/>
        </w:rPr>
        <w:t>Федерации»,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AC221F" w:rsidRPr="00AC221F">
        <w:rPr>
          <w:rFonts w:ascii="Times New Roman" w:hAnsi="Times New Roman" w:cs="Times New Roman"/>
          <w:sz w:val="28"/>
          <w:szCs w:val="28"/>
        </w:rPr>
        <w:t>Уставом Верхнебуреинского муниципального района Хабаровского края, принятым решением Собрания депутатов Верхнебуреинского муниципального района Хабаровского края от 24.05.2005 № 42</w:t>
      </w:r>
      <w:r w:rsidR="00EA521F" w:rsidRPr="008169F1">
        <w:rPr>
          <w:rFonts w:ascii="Times New Roman" w:hAnsi="Times New Roman" w:cs="Times New Roman"/>
          <w:sz w:val="28"/>
          <w:szCs w:val="28"/>
        </w:rPr>
        <w:t>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04066">
        <w:rPr>
          <w:rFonts w:ascii="Times New Roman" w:hAnsi="Times New Roman" w:cs="Times New Roman"/>
          <w:sz w:val="28"/>
          <w:szCs w:val="28"/>
        </w:rPr>
        <w:t>администрация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0406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04066">
        <w:rPr>
          <w:rFonts w:ascii="Times New Roman" w:hAnsi="Times New Roman" w:cs="Times New Roman"/>
          <w:sz w:val="28"/>
          <w:szCs w:val="28"/>
        </w:rPr>
        <w:t>муниципального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04066">
        <w:rPr>
          <w:rFonts w:ascii="Times New Roman" w:hAnsi="Times New Roman" w:cs="Times New Roman"/>
          <w:sz w:val="28"/>
          <w:szCs w:val="28"/>
        </w:rPr>
        <w:t>района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04066">
        <w:rPr>
          <w:rFonts w:ascii="Times New Roman" w:hAnsi="Times New Roman" w:cs="Times New Roman"/>
          <w:sz w:val="28"/>
          <w:szCs w:val="28"/>
        </w:rPr>
        <w:t>Хабаровского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04066">
        <w:rPr>
          <w:rFonts w:ascii="Times New Roman" w:hAnsi="Times New Roman" w:cs="Times New Roman"/>
          <w:sz w:val="28"/>
          <w:szCs w:val="28"/>
        </w:rPr>
        <w:t>края</w:t>
      </w:r>
    </w:p>
    <w:p w:rsidR="00DA606F" w:rsidRPr="008169F1" w:rsidRDefault="00F04066" w:rsidP="00F04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7EC7" w:rsidRPr="007F66B7" w:rsidRDefault="00467EC7" w:rsidP="007F66B7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F1">
        <w:rPr>
          <w:rFonts w:ascii="Times New Roman" w:hAnsi="Times New Roman" w:cs="Times New Roman"/>
          <w:sz w:val="28"/>
          <w:szCs w:val="28"/>
        </w:rPr>
        <w:t>Утвердить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прилагаемый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Порядок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подготовки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обоснования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изменений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существенных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условий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контракта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(цены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контракта)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на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выполнение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работ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строительству,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реконструкции,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капитальному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ремонту,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сносу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объекта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капитального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строительства,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проведению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работ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сохранению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объектов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культурного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наследия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в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случае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существенного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изменения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стоимости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строительных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ресурсов.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C7" w:rsidRPr="008169F1" w:rsidRDefault="00467EC7" w:rsidP="00AC221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9F1">
        <w:rPr>
          <w:rFonts w:ascii="Times New Roman" w:hAnsi="Times New Roman" w:cs="Times New Roman"/>
          <w:sz w:val="28"/>
          <w:szCs w:val="28"/>
        </w:rPr>
        <w:t>Контроль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C221F">
        <w:rPr>
          <w:rFonts w:ascii="Times New Roman" w:hAnsi="Times New Roman" w:cs="Times New Roman"/>
          <w:sz w:val="28"/>
          <w:szCs w:val="28"/>
        </w:rPr>
        <w:t xml:space="preserve"> ис</w:t>
      </w:r>
      <w:r w:rsidR="00D27D7A" w:rsidRPr="008169F1">
        <w:rPr>
          <w:rFonts w:ascii="Times New Roman" w:hAnsi="Times New Roman" w:cs="Times New Roman"/>
          <w:sz w:val="28"/>
          <w:szCs w:val="28"/>
        </w:rPr>
        <w:t>полнением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настоящего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постановления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EF2422" w:rsidRPr="008169F1">
        <w:rPr>
          <w:rFonts w:ascii="Times New Roman" w:hAnsi="Times New Roman" w:cs="Times New Roman"/>
          <w:sz w:val="28"/>
          <w:szCs w:val="28"/>
        </w:rPr>
        <w:t>оставляю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EF2422" w:rsidRPr="008169F1">
        <w:rPr>
          <w:rFonts w:ascii="Times New Roman" w:hAnsi="Times New Roman" w:cs="Times New Roman"/>
          <w:sz w:val="28"/>
          <w:szCs w:val="28"/>
        </w:rPr>
        <w:t>за</w:t>
      </w:r>
      <w:r w:rsid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EF2422" w:rsidRPr="008169F1">
        <w:rPr>
          <w:rFonts w:ascii="Times New Roman" w:hAnsi="Times New Roman" w:cs="Times New Roman"/>
          <w:sz w:val="28"/>
          <w:szCs w:val="28"/>
        </w:rPr>
        <w:t>собой.</w:t>
      </w:r>
    </w:p>
    <w:p w:rsidR="00AC221F" w:rsidRPr="008169F1" w:rsidRDefault="00AC221F" w:rsidP="00AC221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F1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6B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F1">
        <w:rPr>
          <w:rFonts w:ascii="Times New Roman" w:hAnsi="Times New Roman" w:cs="Times New Roman"/>
          <w:sz w:val="28"/>
          <w:szCs w:val="28"/>
        </w:rPr>
        <w:t>опубликования</w:t>
      </w:r>
      <w:r w:rsidR="007F66B7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8169F1">
        <w:rPr>
          <w:rFonts w:ascii="Times New Roman" w:hAnsi="Times New Roman" w:cs="Times New Roman"/>
          <w:sz w:val="28"/>
          <w:szCs w:val="28"/>
        </w:rPr>
        <w:t>.</w:t>
      </w:r>
    </w:p>
    <w:p w:rsidR="00467EC7" w:rsidRPr="008169F1" w:rsidRDefault="00467EC7" w:rsidP="00AC221F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6630" w:rsidRPr="008169F1" w:rsidRDefault="00C76630" w:rsidP="00AC22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587E" w:rsidRDefault="00AC221F" w:rsidP="00AC22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AC221F" w:rsidRPr="008169F1" w:rsidRDefault="00AC221F" w:rsidP="00AC22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7F66B7" w:rsidRDefault="007F66B7" w:rsidP="00AC221F">
      <w:pPr>
        <w:widowControl w:val="0"/>
        <w:autoSpaceDE w:val="0"/>
        <w:autoSpaceDN w:val="0"/>
        <w:adjustRightInd w:val="0"/>
        <w:spacing w:after="0" w:line="302" w:lineRule="exact"/>
        <w:ind w:right="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6B7" w:rsidRDefault="007F66B7" w:rsidP="00AC221F">
      <w:pPr>
        <w:widowControl w:val="0"/>
        <w:autoSpaceDE w:val="0"/>
        <w:autoSpaceDN w:val="0"/>
        <w:adjustRightInd w:val="0"/>
        <w:spacing w:after="0" w:line="302" w:lineRule="exact"/>
        <w:ind w:right="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59" w:rsidRPr="00AC221F" w:rsidRDefault="00ED1D59" w:rsidP="00AC221F">
      <w:pPr>
        <w:widowControl w:val="0"/>
        <w:autoSpaceDE w:val="0"/>
        <w:autoSpaceDN w:val="0"/>
        <w:adjustRightInd w:val="0"/>
        <w:spacing w:after="0" w:line="302" w:lineRule="exact"/>
        <w:ind w:right="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C221F" w:rsidRDefault="00AC221F" w:rsidP="00AC221F">
      <w:pPr>
        <w:widowControl w:val="0"/>
        <w:autoSpaceDE w:val="0"/>
        <w:autoSpaceDN w:val="0"/>
        <w:adjustRightInd w:val="0"/>
        <w:spacing w:after="0" w:line="302" w:lineRule="exact"/>
        <w:ind w:right="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D1D59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B0D" w:rsidRPr="00AC221F" w:rsidRDefault="00516688" w:rsidP="00AC221F">
      <w:pPr>
        <w:widowControl w:val="0"/>
        <w:autoSpaceDE w:val="0"/>
        <w:autoSpaceDN w:val="0"/>
        <w:adjustRightInd w:val="0"/>
        <w:spacing w:after="0" w:line="302" w:lineRule="exact"/>
        <w:ind w:right="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033E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D1D59" w:rsidRPr="00AC221F" w:rsidRDefault="00AC221F" w:rsidP="00AC221F">
      <w:pPr>
        <w:widowControl w:val="0"/>
        <w:autoSpaceDE w:val="0"/>
        <w:autoSpaceDN w:val="0"/>
        <w:adjustRightInd w:val="0"/>
        <w:spacing w:after="0" w:line="302" w:lineRule="exact"/>
        <w:ind w:right="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66B7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F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246</w:t>
      </w:r>
    </w:p>
    <w:p w:rsidR="00ED1D59" w:rsidRPr="00AC221F" w:rsidRDefault="00ED1D59" w:rsidP="00AC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5C" w:rsidRPr="00AC221F" w:rsidRDefault="00467EC7" w:rsidP="00AC2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Порядок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C7" w:rsidRPr="00AC221F" w:rsidRDefault="00467EC7" w:rsidP="00AC2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подготовки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обоснования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существенных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выполнение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работ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строительству,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реконструкции,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капитальному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ремонту,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сносу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объекта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капитального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строительства,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проведению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работ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сохранению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объектов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культурного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наследия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случае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существенного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стоимости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строительных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ресурсов</w:t>
      </w:r>
    </w:p>
    <w:p w:rsidR="00153B0D" w:rsidRPr="00AC221F" w:rsidRDefault="00153B0D" w:rsidP="00AC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5C" w:rsidRPr="00AC221F" w:rsidRDefault="00B51E5C" w:rsidP="00AC22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3B0D" w:rsidRPr="00AC221F" w:rsidRDefault="00467EC7" w:rsidP="00AC221F">
      <w:pPr>
        <w:pStyle w:val="a4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21F">
        <w:rPr>
          <w:rFonts w:ascii="Times New Roman" w:hAnsi="Times New Roman" w:cs="Times New Roman"/>
          <w:sz w:val="28"/>
          <w:szCs w:val="28"/>
        </w:rPr>
        <w:t>Настоящий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Порядок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подготовки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обоснования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существенных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выполнение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работ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строительству,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реконструкции,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капитальному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ремонту,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сносу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объекта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капитального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строительства,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проведению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работ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сохранению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объектов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культурного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наследия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случае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существенного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стоимости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строительных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ресурсов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(далее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-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Порядок)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разработан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целях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реализации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пункта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8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части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1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статьи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95</w:t>
      </w:r>
      <w:r w:rsidR="0040391E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0391E" w:rsidRPr="00AC221F">
        <w:rPr>
          <w:rFonts w:ascii="Times New Roman" w:hAnsi="Times New Roman" w:cs="Times New Roman"/>
          <w:sz w:val="28"/>
          <w:szCs w:val="28"/>
        </w:rPr>
        <w:t>части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0391E" w:rsidRPr="00AC221F">
        <w:rPr>
          <w:rFonts w:ascii="Times New Roman" w:hAnsi="Times New Roman" w:cs="Times New Roman"/>
          <w:sz w:val="28"/>
          <w:szCs w:val="28"/>
        </w:rPr>
        <w:t>70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0391E" w:rsidRPr="00AC221F">
        <w:rPr>
          <w:rFonts w:ascii="Times New Roman" w:hAnsi="Times New Roman" w:cs="Times New Roman"/>
          <w:sz w:val="28"/>
          <w:szCs w:val="28"/>
        </w:rPr>
        <w:t>статьи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0391E" w:rsidRPr="00AC221F">
        <w:rPr>
          <w:rFonts w:ascii="Times New Roman" w:hAnsi="Times New Roman" w:cs="Times New Roman"/>
          <w:sz w:val="28"/>
          <w:szCs w:val="28"/>
        </w:rPr>
        <w:t>112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Федерального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закона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05.04.2013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7693F" w:rsidRPr="00AC221F">
        <w:rPr>
          <w:rFonts w:ascii="Times New Roman" w:hAnsi="Times New Roman" w:cs="Times New Roman"/>
          <w:sz w:val="28"/>
          <w:szCs w:val="28"/>
        </w:rPr>
        <w:t>№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44-ФЗ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«О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сфере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закупок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товаров,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работ,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услуг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для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обеспечения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государственных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муниципальных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нужд»</w:t>
      </w:r>
      <w:r w:rsidR="0040391E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(далее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-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Федеральный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закон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7693F" w:rsidRPr="00AC221F">
        <w:rPr>
          <w:rFonts w:ascii="Times New Roman" w:hAnsi="Times New Roman" w:cs="Times New Roman"/>
          <w:sz w:val="28"/>
          <w:szCs w:val="28"/>
        </w:rPr>
        <w:t>№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44-ФЗ)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определяет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единую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методику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формирования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обоснования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существенных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выполнение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работ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строительству,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реконструкции,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капитальному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ремонту,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сносу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объекта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капитального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строительства,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проведению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работ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сохранению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объектов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культурного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наследия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(далее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-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контракт)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период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его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исполнения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связи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с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изменением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стоимости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строительных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ресурсов</w:t>
      </w:r>
      <w:proofErr w:type="gramEnd"/>
      <w:r w:rsidR="00153B0D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приведшей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увеличению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общей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стоимости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выполнения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работ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повлекшей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невозможность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его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исполнения.</w:t>
      </w:r>
    </w:p>
    <w:p w:rsidR="00153B0D" w:rsidRPr="00AC221F" w:rsidRDefault="00AC221F" w:rsidP="00AC221F">
      <w:pPr>
        <w:pStyle w:val="a4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Понятия,</w:t>
      </w:r>
      <w:r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используемые</w:t>
      </w:r>
      <w:r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в</w:t>
      </w:r>
      <w:r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настоящем</w:t>
      </w:r>
      <w:r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Порядке,</w:t>
      </w:r>
      <w:r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применяются</w:t>
      </w:r>
      <w:r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в</w:t>
      </w:r>
      <w:r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значениях,</w:t>
      </w:r>
      <w:r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определенных</w:t>
      </w:r>
      <w:r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Федеральным</w:t>
      </w:r>
      <w:r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законом</w:t>
      </w:r>
      <w:r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7693F" w:rsidRPr="00AC221F">
        <w:rPr>
          <w:rFonts w:ascii="Times New Roman" w:hAnsi="Times New Roman" w:cs="Times New Roman"/>
          <w:sz w:val="28"/>
          <w:szCs w:val="28"/>
        </w:rPr>
        <w:t>№</w:t>
      </w:r>
      <w:r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44-ФЗ.</w:t>
      </w:r>
      <w:r w:rsidRPr="00AC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B0D" w:rsidRPr="00AC221F" w:rsidRDefault="00153B0D" w:rsidP="00AC221F">
      <w:pPr>
        <w:pStyle w:val="a4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Заказчик</w:t>
      </w:r>
      <w:r w:rsidR="004F737A" w:rsidRPr="00AC221F">
        <w:rPr>
          <w:rFonts w:ascii="Times New Roman" w:hAnsi="Times New Roman" w:cs="Times New Roman"/>
          <w:sz w:val="28"/>
          <w:szCs w:val="28"/>
        </w:rPr>
        <w:t>а</w:t>
      </w:r>
      <w:r w:rsidRPr="00AC221F">
        <w:rPr>
          <w:rFonts w:ascii="Times New Roman" w:hAnsi="Times New Roman" w:cs="Times New Roman"/>
          <w:sz w:val="28"/>
          <w:szCs w:val="28"/>
        </w:rPr>
        <w:t>м</w:t>
      </w:r>
      <w:r w:rsidR="004F737A" w:rsidRPr="00AC221F">
        <w:rPr>
          <w:rFonts w:ascii="Times New Roman" w:hAnsi="Times New Roman" w:cs="Times New Roman"/>
          <w:sz w:val="28"/>
          <w:szCs w:val="28"/>
        </w:rPr>
        <w:t>и</w:t>
      </w:r>
      <w:r w:rsidR="00D73920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73920" w:rsidRPr="00AC221F">
        <w:rPr>
          <w:rFonts w:ascii="Times New Roman" w:hAnsi="Times New Roman" w:cs="Times New Roman"/>
          <w:sz w:val="28"/>
          <w:szCs w:val="28"/>
        </w:rPr>
        <w:t>указанными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73920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F1526" w:rsidRPr="00AC221F">
        <w:rPr>
          <w:rFonts w:ascii="Times New Roman" w:hAnsi="Times New Roman" w:cs="Times New Roman"/>
          <w:sz w:val="28"/>
          <w:szCs w:val="28"/>
        </w:rPr>
        <w:t>При</w:t>
      </w:r>
      <w:r w:rsidR="00D73920" w:rsidRPr="00AC221F">
        <w:rPr>
          <w:rFonts w:ascii="Times New Roman" w:hAnsi="Times New Roman" w:cs="Times New Roman"/>
          <w:sz w:val="28"/>
          <w:szCs w:val="28"/>
        </w:rPr>
        <w:t>ложении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3B556F" w:rsidRPr="00AC221F">
        <w:rPr>
          <w:rFonts w:ascii="Times New Roman" w:hAnsi="Times New Roman" w:cs="Times New Roman"/>
          <w:sz w:val="28"/>
          <w:szCs w:val="28"/>
        </w:rPr>
        <w:t>1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73920" w:rsidRPr="00AC221F">
        <w:rPr>
          <w:rFonts w:ascii="Times New Roman" w:hAnsi="Times New Roman" w:cs="Times New Roman"/>
          <w:sz w:val="28"/>
          <w:szCs w:val="28"/>
        </w:rPr>
        <w:t>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73920" w:rsidRPr="00AC221F">
        <w:rPr>
          <w:rFonts w:ascii="Times New Roman" w:hAnsi="Times New Roman" w:cs="Times New Roman"/>
          <w:sz w:val="28"/>
          <w:szCs w:val="28"/>
        </w:rPr>
        <w:t>настоящему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F1526" w:rsidRPr="00AC221F">
        <w:rPr>
          <w:rFonts w:ascii="Times New Roman" w:hAnsi="Times New Roman" w:cs="Times New Roman"/>
          <w:sz w:val="28"/>
          <w:szCs w:val="28"/>
        </w:rPr>
        <w:t>Порядку</w:t>
      </w:r>
      <w:r w:rsidR="00D73920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допускается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существенных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случае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существенного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стоимости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строительных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ресурсов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221F">
        <w:rPr>
          <w:rFonts w:ascii="Times New Roman" w:hAnsi="Times New Roman" w:cs="Times New Roman"/>
          <w:sz w:val="28"/>
          <w:szCs w:val="28"/>
        </w:rPr>
        <w:t>далее-обоснование</w:t>
      </w:r>
      <w:proofErr w:type="spellEnd"/>
      <w:r w:rsidRPr="00AC221F">
        <w:rPr>
          <w:rFonts w:ascii="Times New Roman" w:hAnsi="Times New Roman" w:cs="Times New Roman"/>
          <w:sz w:val="28"/>
          <w:szCs w:val="28"/>
        </w:rPr>
        <w:t>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совокупности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следующих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467EC7" w:rsidRPr="00AC221F">
        <w:rPr>
          <w:rFonts w:ascii="Times New Roman" w:hAnsi="Times New Roman" w:cs="Times New Roman"/>
          <w:sz w:val="28"/>
          <w:szCs w:val="28"/>
        </w:rPr>
        <w:t>:</w:t>
      </w:r>
    </w:p>
    <w:p w:rsidR="00687F77" w:rsidRPr="00AC221F" w:rsidRDefault="00E06FC4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1)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изменение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существенных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осуществляется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пределах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лимитов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бюджетных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обязательств,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доведенных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до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получателя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сре</w:t>
      </w:r>
      <w:r w:rsidR="00D27378" w:rsidRPr="00AC221F">
        <w:rPr>
          <w:rFonts w:ascii="Times New Roman" w:hAnsi="Times New Roman" w:cs="Times New Roman"/>
          <w:sz w:val="28"/>
          <w:szCs w:val="28"/>
        </w:rPr>
        <w:t>дств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бюджета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соответстви</w:t>
      </w:r>
      <w:r w:rsidR="00272CC1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72CC1" w:rsidRPr="00AC221F">
        <w:rPr>
          <w:rFonts w:ascii="Times New Roman" w:hAnsi="Times New Roman" w:cs="Times New Roman"/>
          <w:sz w:val="28"/>
          <w:szCs w:val="28"/>
        </w:rPr>
        <w:t>с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72CC1" w:rsidRPr="00AC221F">
        <w:rPr>
          <w:rFonts w:ascii="Times New Roman" w:hAnsi="Times New Roman" w:cs="Times New Roman"/>
          <w:sz w:val="28"/>
          <w:szCs w:val="28"/>
        </w:rPr>
        <w:t>бюджетным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72CC1" w:rsidRPr="00AC221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53B0D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срок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исполнения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не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приводит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увеличению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</w:t>
      </w:r>
      <w:r w:rsidR="001B1B26" w:rsidRPr="00AC221F">
        <w:rPr>
          <w:rFonts w:ascii="Times New Roman" w:hAnsi="Times New Roman" w:cs="Times New Roman"/>
          <w:sz w:val="28"/>
          <w:szCs w:val="28"/>
        </w:rPr>
        <w:t>ро</w:t>
      </w:r>
      <w:r w:rsidR="00687F77" w:rsidRPr="00AC221F">
        <w:rPr>
          <w:rFonts w:ascii="Times New Roman" w:hAnsi="Times New Roman" w:cs="Times New Roman"/>
          <w:sz w:val="28"/>
          <w:szCs w:val="28"/>
        </w:rPr>
        <w:t>ка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исполнения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(или)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более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чем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30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процентов;</w:t>
      </w:r>
    </w:p>
    <w:p w:rsidR="00687F77" w:rsidRPr="00AC221F" w:rsidRDefault="00153B0D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21F">
        <w:rPr>
          <w:rFonts w:ascii="Times New Roman" w:hAnsi="Times New Roman" w:cs="Times New Roman"/>
          <w:sz w:val="28"/>
          <w:szCs w:val="28"/>
        </w:rPr>
        <w:t>2</w:t>
      </w:r>
      <w:r w:rsidR="00687F77" w:rsidRPr="00AC221F">
        <w:rPr>
          <w:rFonts w:ascii="Times New Roman" w:hAnsi="Times New Roman" w:cs="Times New Roman"/>
          <w:sz w:val="28"/>
          <w:szCs w:val="28"/>
        </w:rPr>
        <w:t>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предусмотренные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проектной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документацией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объекта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капитального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строительства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(актом,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утвержденным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застройщиком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или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техническим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заказчиком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содержащим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перечень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дефектов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оснований,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строительных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конструкций,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систем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инженерно-технического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обеспечения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сетей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инженерно-техни</w:t>
      </w:r>
      <w:r w:rsidR="00D27378" w:rsidRPr="00AC221F">
        <w:rPr>
          <w:rFonts w:ascii="Times New Roman" w:hAnsi="Times New Roman" w:cs="Times New Roman"/>
          <w:sz w:val="28"/>
          <w:szCs w:val="28"/>
        </w:rPr>
        <w:t>ческого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обеспечения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с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указанием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качественных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lastRenderedPageBreak/>
        <w:t>количественных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характеристик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таких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дефектов,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заданием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застройщика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или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технического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заказчика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проектирование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зависимости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содержания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работ)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физические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объемы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работ,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конструктивные,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организационно-технологические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другие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решения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не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изменяются;</w:t>
      </w:r>
      <w:proofErr w:type="gramEnd"/>
    </w:p>
    <w:p w:rsidR="00687F77" w:rsidRPr="00AC221F" w:rsidRDefault="00153B0D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3</w:t>
      </w:r>
      <w:r w:rsidR="00687F77" w:rsidRPr="00AC221F">
        <w:rPr>
          <w:rFonts w:ascii="Times New Roman" w:hAnsi="Times New Roman" w:cs="Times New Roman"/>
          <w:sz w:val="28"/>
          <w:szCs w:val="28"/>
        </w:rPr>
        <w:t>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размер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изменения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(увеличения)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определяется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поря</w:t>
      </w:r>
      <w:r w:rsidR="00D27378" w:rsidRPr="00AC221F">
        <w:rPr>
          <w:rFonts w:ascii="Times New Roman" w:hAnsi="Times New Roman" w:cs="Times New Roman"/>
          <w:sz w:val="28"/>
          <w:szCs w:val="28"/>
        </w:rPr>
        <w:t>д</w:t>
      </w:r>
      <w:r w:rsidR="00687F77" w:rsidRPr="00AC221F">
        <w:rPr>
          <w:rFonts w:ascii="Times New Roman" w:hAnsi="Times New Roman" w:cs="Times New Roman"/>
          <w:sz w:val="28"/>
          <w:szCs w:val="28"/>
        </w:rPr>
        <w:t>ке,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установленном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Приказом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Министерства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строительства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хозяйства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Российской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Федерации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3E11FC" w:rsidRPr="00AC221F">
        <w:rPr>
          <w:rFonts w:ascii="Times New Roman" w:hAnsi="Times New Roman" w:cs="Times New Roman"/>
          <w:sz w:val="28"/>
          <w:szCs w:val="28"/>
        </w:rPr>
        <w:t>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3E11FC" w:rsidRPr="00AC221F">
        <w:rPr>
          <w:rFonts w:ascii="Times New Roman" w:hAnsi="Times New Roman" w:cs="Times New Roman"/>
          <w:sz w:val="28"/>
          <w:szCs w:val="28"/>
        </w:rPr>
        <w:t>21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3E11FC" w:rsidRPr="00AC221F">
        <w:rPr>
          <w:rFonts w:ascii="Times New Roman" w:hAnsi="Times New Roman" w:cs="Times New Roman"/>
          <w:sz w:val="28"/>
          <w:szCs w:val="28"/>
        </w:rPr>
        <w:t>июля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3E11FC" w:rsidRPr="00AC221F">
        <w:rPr>
          <w:rFonts w:ascii="Times New Roman" w:hAnsi="Times New Roman" w:cs="Times New Roman"/>
          <w:sz w:val="28"/>
          <w:szCs w:val="28"/>
        </w:rPr>
        <w:t>2021г.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3E11FC" w:rsidRPr="00AC221F">
        <w:rPr>
          <w:rFonts w:ascii="Times New Roman" w:hAnsi="Times New Roman" w:cs="Times New Roman"/>
          <w:sz w:val="28"/>
          <w:szCs w:val="28"/>
        </w:rPr>
        <w:t>№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3E11FC" w:rsidRPr="00AC221F">
        <w:rPr>
          <w:rFonts w:ascii="Times New Roman" w:hAnsi="Times New Roman" w:cs="Times New Roman"/>
          <w:sz w:val="28"/>
          <w:szCs w:val="28"/>
        </w:rPr>
        <w:t>500/</w:t>
      </w:r>
      <w:proofErr w:type="spellStart"/>
      <w:proofErr w:type="gramStart"/>
      <w:r w:rsidR="003E11FC" w:rsidRPr="00AC221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687F77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контракта,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размер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которой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составляет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или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превышает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100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млн.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рублей,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-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результатам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повторной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государственной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экспертизы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проектной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документации,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проводимой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части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проверки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достоверности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определения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сметной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стоимости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строительства,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реконструкции,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капитального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ремонта,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сноса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объекта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капитального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строительства,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проведения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работ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сохранению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объекта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культурного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наследия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соответствии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с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пунктом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687F77" w:rsidRPr="00AC221F">
        <w:rPr>
          <w:rFonts w:ascii="Times New Roman" w:hAnsi="Times New Roman" w:cs="Times New Roman"/>
          <w:sz w:val="28"/>
          <w:szCs w:val="28"/>
        </w:rPr>
        <w:t>45</w:t>
      </w:r>
      <w:r w:rsidR="00687F77" w:rsidRPr="00AC221F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Положения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об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организации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проведении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государственной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экспертизы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проектной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документации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результатов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инженерных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изысканий,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утвержденного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Постановлением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Правительства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Российской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Федерации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05.03.2007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№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145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«О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порядке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организации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проведения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государстве</w:t>
      </w:r>
      <w:r w:rsidR="00283A1D" w:rsidRPr="00AC221F">
        <w:rPr>
          <w:rFonts w:ascii="Times New Roman" w:hAnsi="Times New Roman" w:cs="Times New Roman"/>
          <w:sz w:val="28"/>
          <w:szCs w:val="28"/>
        </w:rPr>
        <w:t>н</w:t>
      </w:r>
      <w:r w:rsidR="00D27378" w:rsidRPr="00AC221F">
        <w:rPr>
          <w:rFonts w:ascii="Times New Roman" w:hAnsi="Times New Roman" w:cs="Times New Roman"/>
          <w:sz w:val="28"/>
          <w:szCs w:val="28"/>
        </w:rPr>
        <w:t>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экспертизы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проектной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документации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результатов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инженерных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27378" w:rsidRPr="00AC221F">
        <w:rPr>
          <w:rFonts w:ascii="Times New Roman" w:hAnsi="Times New Roman" w:cs="Times New Roman"/>
          <w:sz w:val="28"/>
          <w:szCs w:val="28"/>
        </w:rPr>
        <w:t>изысканий»;</w:t>
      </w:r>
    </w:p>
    <w:p w:rsidR="00153B0D" w:rsidRPr="00AC221F" w:rsidRDefault="00153B0D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21F">
        <w:rPr>
          <w:rFonts w:ascii="Times New Roman" w:hAnsi="Times New Roman" w:cs="Times New Roman"/>
          <w:sz w:val="28"/>
          <w:szCs w:val="28"/>
        </w:rPr>
        <w:t>4)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существенных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осуществляется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путем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заключения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заказчиком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поставщиком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(подрядчиком,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исполнителем)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соглашения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основании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поступившего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заказчику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письменной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форме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предложения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поставщика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(подрядчика,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исполнителя)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существенных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связи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существенным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увеличением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цен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строительные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ресурсы,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подлежащие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поставке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(или)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использованию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исполнении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такого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приложением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информации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документов,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обосновывающих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такое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предложение.</w:t>
      </w:r>
      <w:proofErr w:type="gramEnd"/>
    </w:p>
    <w:p w:rsidR="00D27378" w:rsidRPr="00AC221F" w:rsidRDefault="00153B0D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5</w:t>
      </w:r>
      <w:r w:rsidR="00D27378" w:rsidRPr="00AC221F">
        <w:rPr>
          <w:rFonts w:ascii="Times New Roman" w:hAnsi="Times New Roman" w:cs="Times New Roman"/>
          <w:sz w:val="28"/>
          <w:szCs w:val="28"/>
        </w:rPr>
        <w:t>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7DF1" w:rsidRPr="00AC221F">
        <w:rPr>
          <w:rFonts w:ascii="Times New Roman" w:hAnsi="Times New Roman" w:cs="Times New Roman"/>
          <w:sz w:val="28"/>
          <w:szCs w:val="28"/>
        </w:rPr>
        <w:t>контракт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7DF1" w:rsidRPr="00AC221F">
        <w:rPr>
          <w:rFonts w:ascii="Times New Roman" w:hAnsi="Times New Roman" w:cs="Times New Roman"/>
          <w:sz w:val="28"/>
          <w:szCs w:val="28"/>
        </w:rPr>
        <w:t>заключен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7DF1" w:rsidRPr="00AC221F">
        <w:rPr>
          <w:rFonts w:ascii="Times New Roman" w:hAnsi="Times New Roman" w:cs="Times New Roman"/>
          <w:sz w:val="28"/>
          <w:szCs w:val="28"/>
        </w:rPr>
        <w:t>до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417AE" w:rsidRPr="00AC221F">
        <w:rPr>
          <w:rFonts w:ascii="Times New Roman" w:hAnsi="Times New Roman" w:cs="Times New Roman"/>
          <w:sz w:val="28"/>
          <w:szCs w:val="28"/>
        </w:rPr>
        <w:t>31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B417AE" w:rsidRPr="00AC221F">
        <w:rPr>
          <w:rFonts w:ascii="Times New Roman" w:hAnsi="Times New Roman" w:cs="Times New Roman"/>
          <w:sz w:val="28"/>
          <w:szCs w:val="28"/>
        </w:rPr>
        <w:t>декабря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7DF1" w:rsidRPr="00AC221F">
        <w:rPr>
          <w:rFonts w:ascii="Times New Roman" w:hAnsi="Times New Roman" w:cs="Times New Roman"/>
          <w:sz w:val="28"/>
          <w:szCs w:val="28"/>
        </w:rPr>
        <w:t>202</w:t>
      </w:r>
      <w:r w:rsidR="001D21BB" w:rsidRPr="00AC221F">
        <w:rPr>
          <w:rFonts w:ascii="Times New Roman" w:hAnsi="Times New Roman" w:cs="Times New Roman"/>
          <w:sz w:val="28"/>
          <w:szCs w:val="28"/>
        </w:rPr>
        <w:t>2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7DF1" w:rsidRPr="00AC221F">
        <w:rPr>
          <w:rFonts w:ascii="Times New Roman" w:hAnsi="Times New Roman" w:cs="Times New Roman"/>
          <w:sz w:val="28"/>
          <w:szCs w:val="28"/>
        </w:rPr>
        <w:t>г.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83A1D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7DF1" w:rsidRPr="00AC221F">
        <w:rPr>
          <w:rFonts w:ascii="Times New Roman" w:hAnsi="Times New Roman" w:cs="Times New Roman"/>
          <w:sz w:val="28"/>
          <w:szCs w:val="28"/>
        </w:rPr>
        <w:t>обязательства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7DF1" w:rsidRPr="00AC221F">
        <w:rPr>
          <w:rFonts w:ascii="Times New Roman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7DF1" w:rsidRPr="00AC221F">
        <w:rPr>
          <w:rFonts w:ascii="Times New Roman" w:hAnsi="Times New Roman" w:cs="Times New Roman"/>
          <w:sz w:val="28"/>
          <w:szCs w:val="28"/>
        </w:rPr>
        <w:t>нему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7DF1" w:rsidRPr="00AC221F">
        <w:rPr>
          <w:rFonts w:ascii="Times New Roman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7DF1" w:rsidRPr="00AC221F">
        <w:rPr>
          <w:rFonts w:ascii="Times New Roman" w:hAnsi="Times New Roman" w:cs="Times New Roman"/>
          <w:sz w:val="28"/>
          <w:szCs w:val="28"/>
        </w:rPr>
        <w:t>дату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7DF1" w:rsidRPr="00AC221F">
        <w:rPr>
          <w:rFonts w:ascii="Times New Roman" w:hAnsi="Times New Roman" w:cs="Times New Roman"/>
          <w:sz w:val="28"/>
          <w:szCs w:val="28"/>
        </w:rPr>
        <w:t>заключения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7DF1" w:rsidRPr="00AC221F">
        <w:rPr>
          <w:rFonts w:ascii="Times New Roman" w:hAnsi="Times New Roman" w:cs="Times New Roman"/>
          <w:sz w:val="28"/>
          <w:szCs w:val="28"/>
        </w:rPr>
        <w:t>соглашения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7DF1" w:rsidRPr="00AC221F">
        <w:rPr>
          <w:rFonts w:ascii="Times New Roman" w:hAnsi="Times New Roman" w:cs="Times New Roman"/>
          <w:sz w:val="28"/>
          <w:szCs w:val="28"/>
        </w:rPr>
        <w:t>об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7DF1" w:rsidRPr="00AC221F">
        <w:rPr>
          <w:rFonts w:ascii="Times New Roman" w:hAnsi="Times New Roman" w:cs="Times New Roman"/>
          <w:sz w:val="28"/>
          <w:szCs w:val="28"/>
        </w:rPr>
        <w:t>изменении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83A1D"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83A1D"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83A1D" w:rsidRPr="00AC221F">
        <w:rPr>
          <w:rFonts w:ascii="Times New Roman" w:hAnsi="Times New Roman" w:cs="Times New Roman"/>
          <w:sz w:val="28"/>
          <w:szCs w:val="28"/>
        </w:rPr>
        <w:t>не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83A1D" w:rsidRPr="00AC221F">
        <w:rPr>
          <w:rFonts w:ascii="Times New Roman" w:hAnsi="Times New Roman" w:cs="Times New Roman"/>
          <w:sz w:val="28"/>
          <w:szCs w:val="28"/>
        </w:rPr>
        <w:t>исполнены.</w:t>
      </w:r>
    </w:p>
    <w:p w:rsidR="00CD7507" w:rsidRPr="00AC221F" w:rsidRDefault="00153B0D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00326932"/>
      <w:r w:rsidRPr="00AC221F">
        <w:rPr>
          <w:rFonts w:ascii="Times New Roman" w:hAnsi="Times New Roman" w:cs="Times New Roman"/>
          <w:sz w:val="28"/>
          <w:szCs w:val="28"/>
        </w:rPr>
        <w:t>4</w:t>
      </w:r>
      <w:r w:rsidR="00467EC7" w:rsidRPr="00AC221F">
        <w:rPr>
          <w:rFonts w:ascii="Times New Roman" w:hAnsi="Times New Roman" w:cs="Times New Roman"/>
          <w:sz w:val="28"/>
          <w:szCs w:val="28"/>
        </w:rPr>
        <w:t>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507" w:rsidRPr="00AC221F">
        <w:rPr>
          <w:rFonts w:ascii="Times New Roman" w:hAnsi="Times New Roman" w:cs="Times New Roman"/>
          <w:sz w:val="28"/>
          <w:szCs w:val="28"/>
        </w:rPr>
        <w:t>Подрядчик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CD7507" w:rsidRPr="00AC221F">
        <w:rPr>
          <w:rFonts w:ascii="Times New Roman" w:hAnsi="Times New Roman" w:cs="Times New Roman"/>
          <w:sz w:val="28"/>
          <w:szCs w:val="28"/>
        </w:rPr>
        <w:t>направляет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CD7507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CD7507" w:rsidRPr="00AC221F">
        <w:rPr>
          <w:rFonts w:ascii="Times New Roman" w:hAnsi="Times New Roman" w:cs="Times New Roman"/>
          <w:sz w:val="28"/>
          <w:szCs w:val="28"/>
        </w:rPr>
        <w:t>адрес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CD7507" w:rsidRPr="00AC221F">
        <w:rPr>
          <w:rFonts w:ascii="Times New Roman" w:hAnsi="Times New Roman" w:cs="Times New Roman"/>
          <w:sz w:val="28"/>
          <w:szCs w:val="28"/>
        </w:rPr>
        <w:t>заказчика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обоснование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существенного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возрастания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ресурсов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поставки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подрядчика,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оказывающего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(увеличение)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контракта,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3315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оформляется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письменной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расчета,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утвержденном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3315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Минстроя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июля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2021г.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500/пр.,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выполненного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объемами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затрат,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предусмотренными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сметой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контракта,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учетом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выявленного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контракта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существенного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возрастания</w:t>
      </w:r>
      <w:proofErr w:type="gramEnd"/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ресурсов,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поставляемых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подрядчиком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Расчет).</w:t>
      </w:r>
    </w:p>
    <w:p w:rsidR="00CD7507" w:rsidRPr="00AC221F" w:rsidRDefault="00CD7507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контрактов,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цена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превышает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руб.,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оформляется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разрезе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ресурсов,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суммарная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учетом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объема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поставки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контракту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целом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(как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приобретенных,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закупка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осуществлена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подрядчиком)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процентов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общей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объема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ресурсов,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контракта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ценообразующие</w:t>
      </w:r>
      <w:proofErr w:type="spellEnd"/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строительные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ресурсы),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закупка</w:t>
      </w:r>
      <w:proofErr w:type="gramEnd"/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произведена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подрядчиком,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</w:t>
      </w:r>
      <w:proofErr w:type="gramEnd"/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контрактом,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ценовые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данным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подрядчика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претерпели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изменение.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перечня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ценообразующих</w:t>
      </w:r>
      <w:proofErr w:type="spellEnd"/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ресурсов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отдельно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ресурсов,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относящихся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материалам,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ресурсов,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относящихся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оборудованию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ценообразующие</w:t>
      </w:r>
      <w:proofErr w:type="spellEnd"/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строительные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ценообразующее</w:t>
      </w:r>
      <w:proofErr w:type="spellEnd"/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соответственно).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7507" w:rsidRPr="00AC221F" w:rsidRDefault="00CD7507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Рекомендуемый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образец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расчета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4473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приказу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4473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Минстроя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251E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251E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251E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21.07.2021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4473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№500/пр.</w:t>
      </w:r>
    </w:p>
    <w:p w:rsidR="00CD7507" w:rsidRPr="00AC221F" w:rsidRDefault="00CD7507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перечня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ценообразующих</w:t>
      </w:r>
      <w:proofErr w:type="spellEnd"/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материалов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(или)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сметной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документации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базисном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получившей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положительное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экспертизы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использованной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начальной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(максимальной)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контракта,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текущей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ресурсов,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выполнения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предусмотренных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условиями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контракта,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использованной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формировании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сметы</w:t>
      </w:r>
      <w:r w:rsidR="00AC221F"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контракта.</w:t>
      </w:r>
      <w:proofErr w:type="gramEnd"/>
    </w:p>
    <w:p w:rsidR="00CD7507" w:rsidRPr="00AC221F" w:rsidRDefault="00CD7507" w:rsidP="00AC221F">
      <w:pPr>
        <w:pStyle w:val="dt-p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/>
          <w:sz w:val="28"/>
          <w:szCs w:val="28"/>
        </w:rPr>
      </w:pPr>
      <w:r w:rsidRPr="00AC221F">
        <w:rPr>
          <w:color w:val="000000"/>
          <w:sz w:val="28"/>
          <w:szCs w:val="28"/>
        </w:rPr>
        <w:t>Для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подтверждения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ценовых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показателей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таких</w:t>
      </w:r>
      <w:r w:rsidR="00AC221F" w:rsidRPr="00AC221F">
        <w:rPr>
          <w:color w:val="000000"/>
          <w:sz w:val="28"/>
          <w:szCs w:val="28"/>
        </w:rPr>
        <w:t xml:space="preserve"> </w:t>
      </w:r>
      <w:proofErr w:type="spellStart"/>
      <w:r w:rsidRPr="00AC221F">
        <w:rPr>
          <w:color w:val="000000"/>
          <w:sz w:val="28"/>
          <w:szCs w:val="28"/>
        </w:rPr>
        <w:t>ценообразующих</w:t>
      </w:r>
      <w:proofErr w:type="spellEnd"/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строительных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материалов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и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(или)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оборудования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представляются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обосновывающие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документы,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содержащие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информацию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о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цене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таких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строительных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материалов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и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(или)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оборудования,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действующей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на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дату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заключения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действующего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контракта,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а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также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на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дату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проведения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Расчета.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При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этом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под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датой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проведения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Расчета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понимается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дата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предоставления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расчетных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и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обосновывающих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документов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подрядчиком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заказчику.</w:t>
      </w:r>
      <w:bookmarkStart w:id="1" w:name="l64"/>
      <w:bookmarkStart w:id="2" w:name="l12"/>
      <w:bookmarkEnd w:id="1"/>
      <w:bookmarkEnd w:id="2"/>
    </w:p>
    <w:p w:rsidR="00CD7507" w:rsidRPr="00AC221F" w:rsidRDefault="00CD7507" w:rsidP="00AC221F">
      <w:pPr>
        <w:pStyle w:val="dt-p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/>
          <w:sz w:val="28"/>
          <w:szCs w:val="28"/>
        </w:rPr>
      </w:pPr>
      <w:r w:rsidRPr="00AC221F">
        <w:rPr>
          <w:color w:val="000000"/>
          <w:sz w:val="28"/>
          <w:szCs w:val="28"/>
        </w:rPr>
        <w:t>В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качестве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обосновывающих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документов</w:t>
      </w:r>
      <w:r w:rsidR="00AC221F" w:rsidRPr="00AC221F">
        <w:rPr>
          <w:color w:val="000000"/>
          <w:sz w:val="28"/>
          <w:szCs w:val="28"/>
        </w:rPr>
        <w:t xml:space="preserve"> </w:t>
      </w:r>
      <w:r w:rsidRPr="00AC221F">
        <w:rPr>
          <w:color w:val="000000"/>
          <w:sz w:val="28"/>
          <w:szCs w:val="28"/>
        </w:rPr>
        <w:t>предоставляются:</w:t>
      </w:r>
    </w:p>
    <w:p w:rsidR="00CD7507" w:rsidRPr="00AC221F" w:rsidRDefault="00AC221F" w:rsidP="00AC221F">
      <w:pPr>
        <w:pStyle w:val="dt-p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/>
          <w:sz w:val="28"/>
          <w:szCs w:val="28"/>
        </w:rPr>
      </w:pPr>
      <w:r w:rsidRPr="00AC221F">
        <w:rPr>
          <w:rStyle w:val="dt-m"/>
          <w:sz w:val="28"/>
          <w:szCs w:val="28"/>
        </w:rPr>
        <w:t xml:space="preserve"> </w:t>
      </w:r>
      <w:r w:rsidR="00CD7507" w:rsidRPr="00AC221F">
        <w:rPr>
          <w:rStyle w:val="dt-m"/>
          <w:sz w:val="28"/>
          <w:szCs w:val="28"/>
        </w:rPr>
        <w:t>а)</w:t>
      </w:r>
      <w:r w:rsidRPr="00AC221F">
        <w:rPr>
          <w:rStyle w:val="dt-m"/>
          <w:color w:val="80808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в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уровне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цен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на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дату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заключения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контракта: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коммерческие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предложения,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прайс-листы,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данные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торговых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площадок,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договоры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поставки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идентичных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строительных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материалов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и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(или)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оборудования,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заключенные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для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исполнения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иных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контрактов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(при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условии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соответствия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даты,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указанной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в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таких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документах,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дате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заключения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контракта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с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возможным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отклонением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не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более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30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календарных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дней),</w:t>
      </w:r>
      <w:r w:rsidRPr="00AC221F">
        <w:rPr>
          <w:color w:val="000000"/>
          <w:sz w:val="28"/>
          <w:szCs w:val="28"/>
        </w:rPr>
        <w:t xml:space="preserve"> </w:t>
      </w:r>
      <w:proofErr w:type="gramStart"/>
      <w:r w:rsidR="00CD7507" w:rsidRPr="00AC221F">
        <w:rPr>
          <w:color w:val="000000"/>
          <w:sz w:val="28"/>
          <w:szCs w:val="28"/>
        </w:rPr>
        <w:t>использованные</w:t>
      </w:r>
      <w:proofErr w:type="gramEnd"/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в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том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числе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при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определении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начальной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(максимальной)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цены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контракта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и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формировании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проекта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сметы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контракта,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а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также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договоры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поставки,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заключенные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до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существенного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возрастания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стоимости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идентичных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строительных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материалов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и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(или)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оборудования,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данные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бухгалтерской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отчетности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и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иные</w:t>
      </w:r>
      <w:r w:rsidRPr="00AC221F">
        <w:rPr>
          <w:color w:val="000000"/>
          <w:sz w:val="28"/>
          <w:szCs w:val="28"/>
        </w:rPr>
        <w:t xml:space="preserve"> </w:t>
      </w:r>
      <w:r w:rsidR="00CD7507" w:rsidRPr="00AC221F">
        <w:rPr>
          <w:color w:val="000000"/>
          <w:sz w:val="28"/>
          <w:szCs w:val="28"/>
        </w:rPr>
        <w:t>документы;</w:t>
      </w:r>
    </w:p>
    <w:p w:rsidR="00CD7507" w:rsidRPr="00AC221F" w:rsidRDefault="00CD7507" w:rsidP="00AC221F">
      <w:pPr>
        <w:pStyle w:val="dt-p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C221F">
        <w:rPr>
          <w:color w:val="000000"/>
          <w:sz w:val="28"/>
          <w:szCs w:val="28"/>
          <w:shd w:val="clear" w:color="auto" w:fill="FFFFFF"/>
        </w:rPr>
        <w:t>б)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в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уровне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цен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на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дату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проведения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Расчета: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коммерческие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предложения,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прайс-листы,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договоры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поставки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идентичных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строительных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материалов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и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(или)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оборудования,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заключенные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для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исполнения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иных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контрактов,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данные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торговых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площадок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и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иные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документы.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D7507" w:rsidRPr="00AC221F" w:rsidRDefault="00CD7507" w:rsidP="00AC221F">
      <w:pPr>
        <w:pStyle w:val="dt-p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C221F">
        <w:rPr>
          <w:color w:val="000000"/>
          <w:sz w:val="28"/>
          <w:szCs w:val="28"/>
          <w:shd w:val="clear" w:color="auto" w:fill="FFFFFF"/>
        </w:rPr>
        <w:t>Для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подтверждения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ценовых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показателей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по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каждой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позиции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перечня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221F">
        <w:rPr>
          <w:color w:val="000000"/>
          <w:sz w:val="28"/>
          <w:szCs w:val="28"/>
          <w:shd w:val="clear" w:color="auto" w:fill="FFFFFF"/>
        </w:rPr>
        <w:t>ценообразующих</w:t>
      </w:r>
      <w:proofErr w:type="spellEnd"/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строительных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материалов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и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(или)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оборудования,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определенных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для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проведения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Расчета,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представляются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не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менее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3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(трех)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lastRenderedPageBreak/>
        <w:t>обосновывающих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документов,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за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исключением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случаев,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когда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материал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и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AC221F">
        <w:rPr>
          <w:color w:val="000000"/>
          <w:sz w:val="28"/>
          <w:szCs w:val="28"/>
          <w:shd w:val="clear" w:color="auto" w:fill="FFFFFF"/>
        </w:rPr>
        <w:t>или)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AC221F">
        <w:rPr>
          <w:color w:val="000000"/>
          <w:sz w:val="28"/>
          <w:szCs w:val="28"/>
          <w:shd w:val="clear" w:color="auto" w:fill="FFFFFF"/>
        </w:rPr>
        <w:t>оборудование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поставляется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единственным</w:t>
      </w:r>
      <w:r w:rsidR="00AC221F"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Pr="00AC221F">
        <w:rPr>
          <w:color w:val="000000"/>
          <w:sz w:val="28"/>
          <w:szCs w:val="28"/>
          <w:shd w:val="clear" w:color="auto" w:fill="FFFFFF"/>
        </w:rPr>
        <w:t>поставщиком.</w:t>
      </w:r>
    </w:p>
    <w:p w:rsidR="00CD7507" w:rsidRPr="00AC221F" w:rsidRDefault="00AC221F" w:rsidP="00AC221F">
      <w:pPr>
        <w:pStyle w:val="dt-p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Для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контрактов,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цена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которых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превышает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30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млн.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руб.,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Расчет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определяется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в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соответствии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с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порядком,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предусмотренным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п.14.2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приказа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Минстроя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России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от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21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июля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2021г.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№</w:t>
      </w:r>
      <w:r w:rsidRPr="00AC221F">
        <w:rPr>
          <w:color w:val="000000"/>
          <w:sz w:val="28"/>
          <w:szCs w:val="28"/>
          <w:shd w:val="clear" w:color="auto" w:fill="FFFFFF"/>
        </w:rPr>
        <w:t xml:space="preserve"> </w:t>
      </w:r>
      <w:r w:rsidR="00CD7507" w:rsidRPr="00AC221F">
        <w:rPr>
          <w:color w:val="000000"/>
          <w:sz w:val="28"/>
          <w:szCs w:val="28"/>
          <w:shd w:val="clear" w:color="auto" w:fill="FFFFFF"/>
        </w:rPr>
        <w:t>500/пр.</w:t>
      </w:r>
    </w:p>
    <w:bookmarkEnd w:id="0"/>
    <w:p w:rsidR="00467EC7" w:rsidRPr="00AC221F" w:rsidRDefault="00153B0D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5</w:t>
      </w:r>
      <w:r w:rsidR="00467EC7" w:rsidRPr="00AC221F">
        <w:rPr>
          <w:rFonts w:ascii="Times New Roman" w:hAnsi="Times New Roman" w:cs="Times New Roman"/>
          <w:sz w:val="28"/>
          <w:szCs w:val="28"/>
        </w:rPr>
        <w:t>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Заказчик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результатам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анализа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представленных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подрядчиком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материалов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течение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3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рабочих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дней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со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дня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получения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обращения,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указанного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пункте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4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настоящего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Порядка,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принимает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решение: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C7" w:rsidRPr="00AC221F" w:rsidRDefault="00467EC7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1)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целесообразности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подготовки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обоснования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существенных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836C6E" w:rsidRPr="00AC221F">
        <w:rPr>
          <w:rFonts w:ascii="Times New Roman" w:hAnsi="Times New Roman" w:cs="Times New Roman"/>
          <w:sz w:val="28"/>
          <w:szCs w:val="28"/>
        </w:rPr>
        <w:t>подготовке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проекта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E5106" w:rsidRPr="00AC221F">
        <w:rPr>
          <w:rFonts w:ascii="Times New Roman" w:hAnsi="Times New Roman" w:cs="Times New Roman"/>
          <w:sz w:val="28"/>
          <w:szCs w:val="28"/>
        </w:rPr>
        <w:t>п</w:t>
      </w:r>
      <w:r w:rsidR="00153B0D" w:rsidRPr="00AC221F">
        <w:rPr>
          <w:rFonts w:ascii="Times New Roman" w:hAnsi="Times New Roman" w:cs="Times New Roman"/>
          <w:sz w:val="28"/>
          <w:szCs w:val="28"/>
        </w:rPr>
        <w:t>остановления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E5106" w:rsidRPr="00AC221F">
        <w:rPr>
          <w:rFonts w:ascii="Times New Roman" w:hAnsi="Times New Roman" w:cs="Times New Roman"/>
          <w:sz w:val="28"/>
          <w:szCs w:val="28"/>
        </w:rPr>
        <w:t>а</w:t>
      </w:r>
      <w:r w:rsidR="00153B0D" w:rsidRPr="00AC221F">
        <w:rPr>
          <w:rFonts w:ascii="Times New Roman" w:hAnsi="Times New Roman" w:cs="Times New Roman"/>
          <w:sz w:val="28"/>
          <w:szCs w:val="28"/>
        </w:rPr>
        <w:t>дминистрации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A67135" w:rsidRPr="00AC221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A67135" w:rsidRPr="00AC221F">
        <w:rPr>
          <w:rFonts w:ascii="Times New Roman" w:hAnsi="Times New Roman" w:cs="Times New Roman"/>
          <w:sz w:val="28"/>
          <w:szCs w:val="28"/>
        </w:rPr>
        <w:t>муниципального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A67135" w:rsidRPr="00AC221F">
        <w:rPr>
          <w:rFonts w:ascii="Times New Roman" w:hAnsi="Times New Roman" w:cs="Times New Roman"/>
          <w:sz w:val="28"/>
          <w:szCs w:val="28"/>
        </w:rPr>
        <w:t>района</w:t>
      </w:r>
      <w:r w:rsidR="0098629F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98629F" w:rsidRPr="00AC221F">
        <w:rPr>
          <w:rFonts w:ascii="Times New Roman" w:hAnsi="Times New Roman" w:cs="Times New Roman"/>
          <w:sz w:val="28"/>
          <w:szCs w:val="28"/>
        </w:rPr>
        <w:t>согласованн</w:t>
      </w:r>
      <w:r w:rsidR="00E428B8" w:rsidRPr="00AC221F">
        <w:rPr>
          <w:rFonts w:ascii="Times New Roman" w:hAnsi="Times New Roman" w:cs="Times New Roman"/>
          <w:sz w:val="28"/>
          <w:szCs w:val="28"/>
        </w:rPr>
        <w:t>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98629F" w:rsidRPr="00AC221F">
        <w:rPr>
          <w:rFonts w:ascii="Times New Roman" w:hAnsi="Times New Roman" w:cs="Times New Roman"/>
          <w:sz w:val="28"/>
          <w:szCs w:val="28"/>
        </w:rPr>
        <w:t>с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98629F" w:rsidRPr="00AC221F">
        <w:rPr>
          <w:rFonts w:ascii="Times New Roman" w:hAnsi="Times New Roman" w:cs="Times New Roman"/>
          <w:sz w:val="28"/>
          <w:szCs w:val="28"/>
        </w:rPr>
        <w:t>отделом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98629F" w:rsidRPr="00AC221F">
        <w:rPr>
          <w:rFonts w:ascii="Times New Roman" w:hAnsi="Times New Roman" w:cs="Times New Roman"/>
          <w:sz w:val="28"/>
          <w:szCs w:val="28"/>
        </w:rPr>
        <w:t>капитального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98629F" w:rsidRPr="00AC221F">
        <w:rPr>
          <w:rFonts w:ascii="Times New Roman" w:hAnsi="Times New Roman" w:cs="Times New Roman"/>
          <w:sz w:val="28"/>
          <w:szCs w:val="28"/>
        </w:rPr>
        <w:t>строительства,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98629F" w:rsidRPr="00AC221F">
        <w:rPr>
          <w:rFonts w:ascii="Times New Roman" w:hAnsi="Times New Roman" w:cs="Times New Roman"/>
          <w:sz w:val="28"/>
          <w:szCs w:val="28"/>
        </w:rPr>
        <w:t>отделом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98629F" w:rsidRPr="00AC221F">
        <w:rPr>
          <w:rFonts w:ascii="Times New Roman" w:hAnsi="Times New Roman" w:cs="Times New Roman"/>
          <w:sz w:val="28"/>
          <w:szCs w:val="28"/>
        </w:rPr>
        <w:t>юридического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98629F" w:rsidRPr="00AC221F">
        <w:rPr>
          <w:rFonts w:ascii="Times New Roman" w:hAnsi="Times New Roman" w:cs="Times New Roman"/>
          <w:sz w:val="28"/>
          <w:szCs w:val="28"/>
        </w:rPr>
        <w:t>обеспечения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98629F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98629F" w:rsidRPr="00AC221F">
        <w:rPr>
          <w:rFonts w:ascii="Times New Roman" w:hAnsi="Times New Roman" w:cs="Times New Roman"/>
          <w:sz w:val="28"/>
          <w:szCs w:val="28"/>
        </w:rPr>
        <w:t>Финансовым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98629F" w:rsidRPr="00AC221F">
        <w:rPr>
          <w:rFonts w:ascii="Times New Roman" w:hAnsi="Times New Roman" w:cs="Times New Roman"/>
          <w:sz w:val="28"/>
          <w:szCs w:val="28"/>
        </w:rPr>
        <w:t>управлением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98629F" w:rsidRPr="00AC221F">
        <w:rPr>
          <w:rFonts w:ascii="Times New Roman" w:hAnsi="Times New Roman" w:cs="Times New Roman"/>
          <w:sz w:val="28"/>
          <w:szCs w:val="28"/>
        </w:rPr>
        <w:t>администрации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98629F" w:rsidRPr="00AC221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98629F" w:rsidRPr="00AC221F">
        <w:rPr>
          <w:rFonts w:ascii="Times New Roman" w:hAnsi="Times New Roman" w:cs="Times New Roman"/>
          <w:sz w:val="28"/>
          <w:szCs w:val="28"/>
        </w:rPr>
        <w:t>муниципального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98629F" w:rsidRPr="00AC221F">
        <w:rPr>
          <w:rFonts w:ascii="Times New Roman" w:hAnsi="Times New Roman" w:cs="Times New Roman"/>
          <w:sz w:val="28"/>
          <w:szCs w:val="28"/>
        </w:rPr>
        <w:t>района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об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изменении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существенных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(цены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3B0D" w:rsidRPr="00AC221F">
        <w:rPr>
          <w:rFonts w:ascii="Times New Roman" w:hAnsi="Times New Roman" w:cs="Times New Roman"/>
          <w:sz w:val="28"/>
          <w:szCs w:val="28"/>
        </w:rPr>
        <w:t>контракта)</w:t>
      </w:r>
      <w:r w:rsidRPr="00AC221F">
        <w:rPr>
          <w:rFonts w:ascii="Times New Roman" w:hAnsi="Times New Roman" w:cs="Times New Roman"/>
          <w:sz w:val="28"/>
          <w:szCs w:val="28"/>
        </w:rPr>
        <w:t>;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C7" w:rsidRPr="00AC221F" w:rsidRDefault="00467EC7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2)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отказе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существенных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контракта).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C7" w:rsidRPr="00AC221F" w:rsidRDefault="00153B0D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6</w:t>
      </w:r>
      <w:r w:rsidR="00467EC7" w:rsidRPr="00AC221F">
        <w:rPr>
          <w:rFonts w:ascii="Times New Roman" w:hAnsi="Times New Roman" w:cs="Times New Roman"/>
          <w:sz w:val="28"/>
          <w:szCs w:val="28"/>
        </w:rPr>
        <w:t>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Основаниями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для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отказа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изменения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существенных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(цены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контракта)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являются: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C7" w:rsidRPr="00AC221F" w:rsidRDefault="00467EC7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1)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недостоверность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сведений,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представленных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материалах,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указанных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пункте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4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настоящего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Порядка;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C7" w:rsidRPr="00AC221F" w:rsidRDefault="00467EC7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2)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отсутствие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обстоятельств,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указанных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пункте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3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настоящего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Порядка,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наличии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которых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готовится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обоснование.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C7" w:rsidRPr="00AC221F" w:rsidRDefault="00153B0D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7</w:t>
      </w:r>
      <w:r w:rsidR="00467EC7" w:rsidRPr="00AC221F">
        <w:rPr>
          <w:rFonts w:ascii="Times New Roman" w:hAnsi="Times New Roman" w:cs="Times New Roman"/>
          <w:sz w:val="28"/>
          <w:szCs w:val="28"/>
        </w:rPr>
        <w:t>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Заказчик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направляет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адрес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подрядчика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течение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5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рабочих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дней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со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дня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принятия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решения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соответствующее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уведомление</w:t>
      </w:r>
      <w:r w:rsidR="0059635C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9635C" w:rsidRPr="00AC221F">
        <w:rPr>
          <w:rFonts w:ascii="Times New Roman" w:hAnsi="Times New Roman" w:cs="Times New Roman"/>
          <w:sz w:val="28"/>
          <w:szCs w:val="28"/>
        </w:rPr>
        <w:t>составленное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8C6515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8C6515" w:rsidRPr="00AC221F">
        <w:rPr>
          <w:rFonts w:ascii="Times New Roman" w:hAnsi="Times New Roman" w:cs="Times New Roman"/>
          <w:sz w:val="28"/>
          <w:szCs w:val="28"/>
        </w:rPr>
        <w:t>произвольной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8C6515" w:rsidRPr="00AC221F">
        <w:rPr>
          <w:rFonts w:ascii="Times New Roman" w:hAnsi="Times New Roman" w:cs="Times New Roman"/>
          <w:sz w:val="28"/>
          <w:szCs w:val="28"/>
        </w:rPr>
        <w:t>форме</w:t>
      </w:r>
      <w:r w:rsidR="0059635C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принятом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решении.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При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положительном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решении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уведомлению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заказчик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прилагает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сформированное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подписанное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техническое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задание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корректировку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сметной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документации.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A4B" w:rsidRPr="00AC221F" w:rsidRDefault="00153B0D" w:rsidP="00AC22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8</w:t>
      </w:r>
      <w:r w:rsidR="00467EC7" w:rsidRPr="00AC221F">
        <w:rPr>
          <w:rFonts w:ascii="Times New Roman" w:hAnsi="Times New Roman" w:cs="Times New Roman"/>
          <w:sz w:val="28"/>
          <w:szCs w:val="28"/>
        </w:rPr>
        <w:t>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Подрядчик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обеспечивает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кор</w:t>
      </w:r>
      <w:r w:rsidR="005A6E4C" w:rsidRPr="00AC221F">
        <w:rPr>
          <w:rFonts w:ascii="Times New Roman" w:hAnsi="Times New Roman" w:cs="Times New Roman"/>
          <w:sz w:val="28"/>
          <w:szCs w:val="28"/>
        </w:rPr>
        <w:t>ректировку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сметной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документации,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случае</w:t>
      </w:r>
      <w:r w:rsidR="00FA3DBB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если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цена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муниципального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составляет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или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превышает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100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млн.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рублей</w:t>
      </w:r>
      <w:r w:rsidR="00377FBE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9635C" w:rsidRPr="00AC221F">
        <w:rPr>
          <w:rFonts w:ascii="Times New Roman" w:hAnsi="Times New Roman" w:cs="Times New Roman"/>
          <w:sz w:val="28"/>
          <w:szCs w:val="28"/>
        </w:rPr>
        <w:t>также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377FBE" w:rsidRPr="00AC221F">
        <w:rPr>
          <w:rFonts w:ascii="Times New Roman" w:hAnsi="Times New Roman" w:cs="Times New Roman"/>
          <w:sz w:val="28"/>
          <w:szCs w:val="28"/>
        </w:rPr>
        <w:t>осуществляет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проведение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B58F7" w:rsidRPr="00AC221F">
        <w:rPr>
          <w:rFonts w:ascii="Times New Roman" w:hAnsi="Times New Roman" w:cs="Times New Roman"/>
          <w:sz w:val="28"/>
          <w:szCs w:val="28"/>
        </w:rPr>
        <w:t>повторной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государственной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экспертизы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проектной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документации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предмет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проверки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достоверности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определения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сметной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стоимости</w:t>
      </w:r>
      <w:r w:rsidR="00081A4B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081A4B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081A4B" w:rsidRPr="00AC221F">
        <w:rPr>
          <w:rFonts w:ascii="Times New Roman" w:hAnsi="Times New Roman" w:cs="Times New Roman"/>
          <w:sz w:val="28"/>
          <w:szCs w:val="28"/>
        </w:rPr>
        <w:t>части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081A4B" w:rsidRPr="00AC221F">
        <w:rPr>
          <w:rFonts w:ascii="Times New Roman" w:hAnsi="Times New Roman" w:cs="Times New Roman"/>
          <w:sz w:val="28"/>
          <w:szCs w:val="28"/>
        </w:rPr>
        <w:t>изменения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081A4B" w:rsidRPr="00AC221F">
        <w:rPr>
          <w:rFonts w:ascii="Times New Roman" w:hAnsi="Times New Roman" w:cs="Times New Roman"/>
          <w:sz w:val="28"/>
          <w:szCs w:val="28"/>
        </w:rPr>
        <w:t>(увеличения)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муниципального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5A6E4C"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FA3DBB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соответствии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с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частью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45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(14)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="00FA3DBB" w:rsidRPr="00AC221F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FA3DBB" w:rsidRPr="00AC221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об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организации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проведении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государственной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экспертизы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проектной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документации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результатов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инженерных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изысканий,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DBB" w:rsidRPr="00AC221F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постановлением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Правительства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Российской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Федерации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5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марта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2007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г.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AC221F">
        <w:rPr>
          <w:rFonts w:ascii="Times New Roman" w:hAnsi="Times New Roman" w:cs="Times New Roman"/>
          <w:sz w:val="28"/>
          <w:szCs w:val="28"/>
        </w:rPr>
        <w:t>№ </w:t>
      </w:r>
      <w:r w:rsidR="00FA3DBB" w:rsidRPr="00AC221F">
        <w:rPr>
          <w:rFonts w:ascii="Times New Roman" w:hAnsi="Times New Roman" w:cs="Times New Roman"/>
          <w:sz w:val="28"/>
          <w:szCs w:val="28"/>
        </w:rPr>
        <w:t>145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"О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порядке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организации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проведения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государственной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экспертизы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проектной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документации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результатов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инженерных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FA3DBB" w:rsidRPr="00AC221F">
        <w:rPr>
          <w:rFonts w:ascii="Times New Roman" w:hAnsi="Times New Roman" w:cs="Times New Roman"/>
          <w:sz w:val="28"/>
          <w:szCs w:val="28"/>
        </w:rPr>
        <w:t>изысканий".</w:t>
      </w:r>
    </w:p>
    <w:p w:rsidR="00467EC7" w:rsidRPr="00AC221F" w:rsidRDefault="00467EC7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Срок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получения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положительного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заключения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156D72" w:rsidRPr="00AC221F">
        <w:rPr>
          <w:rFonts w:ascii="Times New Roman" w:hAnsi="Times New Roman" w:cs="Times New Roman"/>
          <w:sz w:val="28"/>
          <w:szCs w:val="28"/>
        </w:rPr>
        <w:t>повторной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государственной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экспертизы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включается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срок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исполнения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C7" w:rsidRPr="00AC221F" w:rsidRDefault="005117F4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9</w:t>
      </w:r>
      <w:r w:rsidR="00467EC7" w:rsidRPr="00AC221F">
        <w:rPr>
          <w:rFonts w:ascii="Times New Roman" w:hAnsi="Times New Roman" w:cs="Times New Roman"/>
          <w:sz w:val="28"/>
          <w:szCs w:val="28"/>
        </w:rPr>
        <w:t>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обоснование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включаются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анализ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расчеты,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подтверждающие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наличие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обстоятельств,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указанных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пункте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3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настоящего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Порядка,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расчет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размера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новой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контракта.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C7" w:rsidRPr="00AC221F" w:rsidRDefault="005117F4" w:rsidP="00AC22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Расчет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размера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новой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EC7" w:rsidRPr="00AC221F">
        <w:rPr>
          <w:rFonts w:ascii="Times New Roman" w:hAnsi="Times New Roman" w:cs="Times New Roman"/>
          <w:sz w:val="28"/>
          <w:szCs w:val="28"/>
        </w:rPr>
        <w:t>Ц</w:t>
      </w:r>
      <w:r w:rsidR="003E044F" w:rsidRPr="00AC221F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осуществляется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соответствии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со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следующей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467EC7" w:rsidRPr="00AC221F">
        <w:rPr>
          <w:rFonts w:ascii="Times New Roman" w:hAnsi="Times New Roman" w:cs="Times New Roman"/>
          <w:sz w:val="28"/>
          <w:szCs w:val="28"/>
        </w:rPr>
        <w:t>формулой:</w:t>
      </w:r>
    </w:p>
    <w:p w:rsidR="00796019" w:rsidRPr="00AC221F" w:rsidRDefault="003E044F" w:rsidP="00AC221F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AC221F">
        <w:rPr>
          <w:rFonts w:ascii="Times New Roman" w:hAnsi="Times New Roman" w:cs="Times New Roman"/>
          <w:sz w:val="28"/>
          <w:szCs w:val="28"/>
        </w:rPr>
        <w:t>Ц</w:t>
      </w:r>
      <w:r w:rsidRPr="00AC221F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r w:rsidRPr="00AC221F">
        <w:rPr>
          <w:rFonts w:ascii="Times New Roman" w:hAnsi="Times New Roman" w:cs="Times New Roman"/>
          <w:sz w:val="28"/>
          <w:szCs w:val="28"/>
        </w:rPr>
        <w:t>=</w:t>
      </w:r>
      <m:oMath>
        <w:proofErr w:type="spellEnd"/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n</m:t>
            </m:r>
          </m:sup>
        </m:sSub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bscript"/>
                  </w:rPr>
                </m:ctrlPr>
              </m:d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vertAlign w:val="subscript"/>
                          </w:rPr>
                          <m:t>нов</m:t>
                        </m:r>
                      </m:sub>
                    </m:s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vertAlign w:val="subscript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vertAlign w:val="subscript"/>
                          </w:rPr>
                          <m:t>З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vertAlign w:val="subscript"/>
                          </w:rPr>
                          <m:t>см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vertAlign w:val="subscript"/>
                          </w:rPr>
                          <m:t>.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vertAlign w:val="subscript"/>
                          </w:rPr>
                          <m:t>п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vertAlign w:val="subscript"/>
                          </w:rPr>
                          <m:t>н</m:t>
                        </m:r>
                      </m:sup>
                    </m:sSubSup>
                  </m:e>
                </m:d>
                <m:r>
                  <w:rPr>
                    <w:rFonts w:ascii="Times New Roman" w:hAnsi="Times New Roman" w:cs="Times New Roman"/>
                    <w:sz w:val="28"/>
                    <w:szCs w:val="28"/>
                    <w:vertAlign w:val="subscript"/>
                  </w:rPr>
                  <m:t>ᵢ-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A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vertAlign w:val="subscript"/>
                  </w:rPr>
                  <m:t>ᵢ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x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И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сс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vertAlign w:val="subscript"/>
          </w:rPr>
          <m:t>x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К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тен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сн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.</m:t>
                </m:r>
              </m:sub>
            </m:sSub>
          </m:e>
        </m:d>
        <m:r>
          <w:rPr>
            <w:rFonts w:ascii="Cambria Math" w:hAnsi="Times New Roman" w:cs="Times New Roman"/>
            <w:sz w:val="28"/>
            <w:szCs w:val="28"/>
            <w:vertAlign w:val="subscript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вып</m:t>
            </m:r>
          </m:sub>
        </m:sSub>
        <m:r>
          <w:rPr>
            <w:rFonts w:ascii="Times New Roman" w:hAnsi="Times New Roman" w:cs="Times New Roman"/>
            <w:sz w:val="28"/>
            <w:szCs w:val="28"/>
            <w:vertAlign w:val="subscript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см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п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</m:sub>
        </m:sSub>
      </m:oMath>
      <w:r w:rsidR="00924A50" w:rsidRPr="00AC221F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24A50" w:rsidRPr="00AC221F" w:rsidRDefault="00924A50" w:rsidP="00AC221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</w:rPr>
      </w:pPr>
      <w:r w:rsidRPr="00AC221F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924A50" w:rsidRPr="00AC221F" w:rsidRDefault="00924A50" w:rsidP="00AC221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AC221F">
        <w:rPr>
          <w:rFonts w:ascii="Times New Roman" w:eastAsiaTheme="minorEastAsia" w:hAnsi="Times New Roman" w:cs="Times New Roman"/>
          <w:sz w:val="28"/>
          <w:szCs w:val="28"/>
        </w:rPr>
        <w:t>Ц</w:t>
      </w:r>
      <w:r w:rsidRPr="00AC221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нов</w:t>
      </w:r>
      <w:proofErr w:type="spellEnd"/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новая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цена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контракта;</w:t>
      </w:r>
    </w:p>
    <w:p w:rsidR="00924A50" w:rsidRPr="00AC221F" w:rsidRDefault="00924A50" w:rsidP="00AC221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221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AC221F">
        <w:rPr>
          <w:rFonts w:ascii="Times New Roman" w:eastAsiaTheme="minorEastAsia" w:hAnsi="Times New Roman" w:cs="Times New Roman"/>
          <w:sz w:val="28"/>
          <w:szCs w:val="28"/>
        </w:rPr>
        <w:t>количеств</w:t>
      </w:r>
      <w:r w:rsidR="008C6515" w:rsidRPr="00AC221F">
        <w:rPr>
          <w:rFonts w:ascii="Times New Roman" w:eastAsiaTheme="minorEastAsia" w:hAnsi="Times New Roman" w:cs="Times New Roman"/>
          <w:sz w:val="28"/>
          <w:szCs w:val="28"/>
        </w:rPr>
        <w:t>о</w:t>
      </w:r>
      <w:proofErr w:type="gramEnd"/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6515" w:rsidRPr="00AC221F">
        <w:rPr>
          <w:rFonts w:ascii="Times New Roman" w:eastAsiaTheme="minorEastAsia" w:hAnsi="Times New Roman" w:cs="Times New Roman"/>
          <w:sz w:val="28"/>
          <w:szCs w:val="28"/>
        </w:rPr>
        <w:t>календарных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6515" w:rsidRPr="00AC221F">
        <w:rPr>
          <w:rFonts w:ascii="Times New Roman" w:eastAsiaTheme="minorEastAsia" w:hAnsi="Times New Roman" w:cs="Times New Roman"/>
          <w:sz w:val="28"/>
          <w:szCs w:val="28"/>
        </w:rPr>
        <w:t>лет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6515" w:rsidRPr="00AC221F">
        <w:rPr>
          <w:rFonts w:ascii="Times New Roman" w:eastAsiaTheme="minorEastAsia" w:hAnsi="Times New Roman" w:cs="Times New Roman"/>
          <w:sz w:val="28"/>
          <w:szCs w:val="28"/>
        </w:rPr>
        <w:t>строительства,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6515" w:rsidRPr="00AC221F">
        <w:rPr>
          <w:rFonts w:ascii="Times New Roman" w:eastAsiaTheme="minorEastAsia" w:hAnsi="Times New Roman" w:cs="Times New Roman"/>
          <w:sz w:val="28"/>
          <w:szCs w:val="28"/>
        </w:rPr>
        <w:t>реконструкции,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6515" w:rsidRPr="00AC221F">
        <w:rPr>
          <w:rFonts w:ascii="Times New Roman" w:eastAsiaTheme="minorEastAsia" w:hAnsi="Times New Roman" w:cs="Times New Roman"/>
          <w:sz w:val="28"/>
          <w:szCs w:val="28"/>
        </w:rPr>
        <w:t>капитального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6515" w:rsidRPr="00AC221F">
        <w:rPr>
          <w:rFonts w:ascii="Times New Roman" w:eastAsiaTheme="minorEastAsia" w:hAnsi="Times New Roman" w:cs="Times New Roman"/>
          <w:sz w:val="28"/>
          <w:szCs w:val="28"/>
        </w:rPr>
        <w:t>ремонта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объекта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(работ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сохранению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объектов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культурного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наследия)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(в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годах);</w:t>
      </w:r>
    </w:p>
    <w:p w:rsidR="00517DBD" w:rsidRPr="00AC221F" w:rsidRDefault="00924A50" w:rsidP="00AC221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221F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AC221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нов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сметная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стоимость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строительства</w:t>
      </w:r>
      <w:r w:rsidR="008C6515" w:rsidRPr="00AC221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6515" w:rsidRPr="00AC221F">
        <w:rPr>
          <w:rFonts w:ascii="Times New Roman" w:eastAsiaTheme="minorEastAsia" w:hAnsi="Times New Roman" w:cs="Times New Roman"/>
          <w:sz w:val="28"/>
          <w:szCs w:val="28"/>
        </w:rPr>
        <w:t>реконструкции,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6515" w:rsidRPr="00AC221F">
        <w:rPr>
          <w:rFonts w:ascii="Times New Roman" w:eastAsiaTheme="minorEastAsia" w:hAnsi="Times New Roman" w:cs="Times New Roman"/>
          <w:sz w:val="28"/>
          <w:szCs w:val="28"/>
        </w:rPr>
        <w:t>капитального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6515" w:rsidRPr="00AC221F">
        <w:rPr>
          <w:rFonts w:ascii="Times New Roman" w:eastAsiaTheme="minorEastAsia" w:hAnsi="Times New Roman" w:cs="Times New Roman"/>
          <w:sz w:val="28"/>
          <w:szCs w:val="28"/>
        </w:rPr>
        <w:t>ремонта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объекта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(работ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сохранению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объектов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культурного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наследия)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оставшиеся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работы,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пересчитанная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текущие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цены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дату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корректировки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сметной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стоимости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подготовке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обоснования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изменения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цены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контракта;</w:t>
      </w:r>
    </w:p>
    <w:p w:rsidR="00924A50" w:rsidRPr="00AC221F" w:rsidRDefault="009C62FB" w:rsidP="00AC221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см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п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н</m:t>
            </m:r>
          </m:sup>
        </m:sSubSup>
      </m:oMath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сметная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прибыль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оставшиеся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работы,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пересчитанная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текущие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цены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дату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корректировки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сметной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стоимости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подготовке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обоснования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изменения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цены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17DBD" w:rsidRPr="00AC221F">
        <w:rPr>
          <w:rFonts w:ascii="Times New Roman" w:eastAsiaTheme="minorEastAsia" w:hAnsi="Times New Roman" w:cs="Times New Roman"/>
          <w:sz w:val="28"/>
          <w:szCs w:val="28"/>
        </w:rPr>
        <w:t>контракта;</w:t>
      </w:r>
    </w:p>
    <w:p w:rsidR="00517DBD" w:rsidRPr="00AC221F" w:rsidRDefault="00517DBD" w:rsidP="00AC221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нов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см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п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.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н</m:t>
            </m:r>
          </m:sup>
        </m:sSubSup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ᵢ</m:t>
        </m:r>
      </m:oMath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уточненная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сметная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стоимость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строительства</w:t>
      </w:r>
      <w:r w:rsidR="005D7A48" w:rsidRPr="00AC221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7A48" w:rsidRPr="00AC221F">
        <w:rPr>
          <w:rFonts w:ascii="Times New Roman" w:eastAsiaTheme="minorEastAsia" w:hAnsi="Times New Roman" w:cs="Times New Roman"/>
          <w:sz w:val="28"/>
          <w:szCs w:val="28"/>
        </w:rPr>
        <w:t>реконструкции,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7A48" w:rsidRPr="00AC221F">
        <w:rPr>
          <w:rFonts w:ascii="Times New Roman" w:eastAsiaTheme="minorEastAsia" w:hAnsi="Times New Roman" w:cs="Times New Roman"/>
          <w:sz w:val="28"/>
          <w:szCs w:val="28"/>
        </w:rPr>
        <w:t>капитального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7A48" w:rsidRPr="00AC221F">
        <w:rPr>
          <w:rFonts w:ascii="Times New Roman" w:eastAsiaTheme="minorEastAsia" w:hAnsi="Times New Roman" w:cs="Times New Roman"/>
          <w:sz w:val="28"/>
          <w:szCs w:val="28"/>
        </w:rPr>
        <w:t>ремонта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объекта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(работ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сохранению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объектов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культурного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наследия)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оставшиеся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работы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без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сметной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прибыли,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приходящийся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соответствующий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E2FE1" w:rsidRPr="00AC221F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й</w:t>
      </w:r>
      <w:proofErr w:type="spellEnd"/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год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строительства,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2894" w:rsidRPr="00AC221F">
        <w:rPr>
          <w:rFonts w:ascii="Times New Roman" w:eastAsiaTheme="minorEastAsia" w:hAnsi="Times New Roman" w:cs="Times New Roman"/>
          <w:sz w:val="28"/>
          <w:szCs w:val="28"/>
        </w:rPr>
        <w:t>реконструкции,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2894" w:rsidRPr="00AC221F">
        <w:rPr>
          <w:rFonts w:ascii="Times New Roman" w:eastAsiaTheme="minorEastAsia" w:hAnsi="Times New Roman" w:cs="Times New Roman"/>
          <w:sz w:val="28"/>
          <w:szCs w:val="28"/>
        </w:rPr>
        <w:t>капитального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2894" w:rsidRPr="00AC221F">
        <w:rPr>
          <w:rFonts w:ascii="Times New Roman" w:eastAsiaTheme="minorEastAsia" w:hAnsi="Times New Roman" w:cs="Times New Roman"/>
          <w:sz w:val="28"/>
          <w:szCs w:val="28"/>
        </w:rPr>
        <w:t>ремонта,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который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определяется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соответствии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объемами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финансирования,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пр</w:t>
      </w:r>
      <w:r w:rsidR="005D7A48" w:rsidRPr="00AC221F">
        <w:rPr>
          <w:rFonts w:ascii="Times New Roman" w:eastAsiaTheme="minorEastAsia" w:hAnsi="Times New Roman" w:cs="Times New Roman"/>
          <w:sz w:val="28"/>
          <w:szCs w:val="28"/>
        </w:rPr>
        <w:t>едусмотренными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7A48" w:rsidRPr="00AC221F">
        <w:rPr>
          <w:rFonts w:ascii="Times New Roman" w:eastAsiaTheme="minorEastAsia" w:hAnsi="Times New Roman" w:cs="Times New Roman"/>
          <w:sz w:val="28"/>
          <w:szCs w:val="28"/>
        </w:rPr>
        <w:t>правовыми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D7A48" w:rsidRPr="00AC221F">
        <w:rPr>
          <w:rFonts w:ascii="Times New Roman" w:eastAsiaTheme="minorEastAsia" w:hAnsi="Times New Roman" w:cs="Times New Roman"/>
          <w:sz w:val="28"/>
          <w:szCs w:val="28"/>
        </w:rPr>
        <w:t>актами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устанавливающими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соответствующее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адресное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2FE1" w:rsidRPr="00AC221F">
        <w:rPr>
          <w:rFonts w:ascii="Times New Roman" w:eastAsiaTheme="minorEastAsia" w:hAnsi="Times New Roman" w:cs="Times New Roman"/>
          <w:sz w:val="28"/>
          <w:szCs w:val="28"/>
        </w:rPr>
        <w:t>распределение;</w:t>
      </w:r>
    </w:p>
    <w:p w:rsidR="00AE2FE1" w:rsidRPr="00AC221F" w:rsidRDefault="00AE2FE1" w:rsidP="00AC221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221F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spellStart"/>
      <w:proofErr w:type="gramStart"/>
      <w:r w:rsidRPr="00AC221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AC221F" w:rsidRPr="00AC221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неотработанный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аванс,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погашаемый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AC221F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Pr="00AC221F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Pr="00AC221F">
        <w:rPr>
          <w:rFonts w:ascii="Times New Roman" w:eastAsiaTheme="minorEastAsia" w:hAnsi="Times New Roman" w:cs="Times New Roman"/>
          <w:sz w:val="28"/>
          <w:szCs w:val="28"/>
        </w:rPr>
        <w:t>ом</w:t>
      </w:r>
      <w:proofErr w:type="spellEnd"/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году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соответствии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условиями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контракта;</w:t>
      </w:r>
    </w:p>
    <w:p w:rsidR="003E044F" w:rsidRPr="00AC221F" w:rsidRDefault="00AE2FE1" w:rsidP="00AC221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21F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AC221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сс</w:t>
      </w:r>
      <w:proofErr w:type="spellEnd"/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прогнозный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коэффициент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дефлятор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Минэкономразвития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России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соответствующий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AC221F">
        <w:rPr>
          <w:rFonts w:ascii="Times New Roman" w:eastAsiaTheme="minorEastAsia" w:hAnsi="Times New Roman" w:cs="Times New Roman"/>
          <w:sz w:val="28"/>
          <w:szCs w:val="28"/>
        </w:rPr>
        <w:t>i-й</w:t>
      </w:r>
      <w:proofErr w:type="spellEnd"/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год</w:t>
      </w:r>
      <w:r w:rsidR="00360618" w:rsidRPr="00AC221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если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работы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21F"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весь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год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определяется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формуле:</w:t>
      </w:r>
    </w:p>
    <w:p w:rsidR="00C16CB6" w:rsidRPr="00AC221F" w:rsidRDefault="009C62FB" w:rsidP="00AC221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И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сс</m:t>
            </m:r>
          </m:sub>
        </m:sSub>
        <m:r>
          <w:rPr>
            <w:rFonts w:ascii="Cambria Math" w:hAnsi="Times New Roman" w:cs="Times New Roman"/>
            <w:sz w:val="28"/>
            <w:szCs w:val="28"/>
            <w:vertAlign w:val="subscript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И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пр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>x</m:t>
        </m:r>
        <m:r>
          <w:rPr>
            <w:rFonts w:ascii="Cambria Math" w:hAnsi="Times New Roman" w:cs="Times New Roman"/>
            <w:sz w:val="28"/>
            <w:szCs w:val="28"/>
            <w:vertAlign w:val="subscript"/>
          </w:rPr>
          <m:t>(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bscript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vertAlign w:val="subscript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vertAlign w:val="subscript"/>
                          </w:rPr>
                          <m:t>12</m:t>
                        </m:r>
                      </m:deg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vertAlign w:val="subscript"/>
                          </w:rPr>
                          <m:t>Ит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1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vertAlign w:val="subscript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vertAlign w:val="subscript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vertAlign w:val="subscript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vertAlign w:val="subscript"/>
                          </w:rPr>
                          <m:t>12</m:t>
                        </m:r>
                      </m:deg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vertAlign w:val="subscript"/>
                          </w:rPr>
                          <m:t>Ит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</w:rPr>
                  <m:t>12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vertAlign w:val="subscript"/>
          </w:rPr>
          <m:t>)</m:t>
        </m:r>
      </m:oMath>
      <w:r w:rsidR="00C16CB6" w:rsidRPr="00AC221F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AE2FE1" w:rsidRPr="00AC221F" w:rsidRDefault="00C16CB6" w:rsidP="00AC221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221F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16CB6" w:rsidRPr="00AC221F" w:rsidRDefault="00C16CB6" w:rsidP="00AC221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221F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AC221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пр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индекс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периода,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предшествующего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выполнению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работ;</w:t>
      </w:r>
    </w:p>
    <w:p w:rsidR="00C16CB6" w:rsidRPr="00AC221F" w:rsidRDefault="00C16CB6" w:rsidP="00AC221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AC221F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AC221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</w:t>
      </w:r>
      <w:proofErr w:type="spellEnd"/>
      <w:proofErr w:type="gramEnd"/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индекс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года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выполнения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работ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(текущий</w:t>
      </w:r>
      <w:r w:rsidR="00AC221F" w:rsidRPr="00AC22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eastAsiaTheme="minorEastAsia" w:hAnsi="Times New Roman" w:cs="Times New Roman"/>
          <w:sz w:val="28"/>
          <w:szCs w:val="28"/>
        </w:rPr>
        <w:t>индекс).</w:t>
      </w:r>
    </w:p>
    <w:p w:rsidR="00C16CB6" w:rsidRPr="00AC221F" w:rsidRDefault="00C16CB6" w:rsidP="00AC221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16CB6" w:rsidRPr="00AC221F" w:rsidRDefault="00C16CB6" w:rsidP="00AC221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Расчет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21F">
        <w:rPr>
          <w:rFonts w:ascii="Times New Roman" w:hAnsi="Times New Roman" w:cs="Times New Roman"/>
          <w:sz w:val="28"/>
          <w:szCs w:val="28"/>
        </w:rPr>
        <w:t>И</w:t>
      </w:r>
      <w:r w:rsidRPr="00AC221F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случае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неполного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календарного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года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строительства</w:t>
      </w:r>
      <w:r w:rsidR="00DC66F8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C66F8" w:rsidRPr="00AC221F">
        <w:rPr>
          <w:rFonts w:ascii="Times New Roman" w:hAnsi="Times New Roman" w:cs="Times New Roman"/>
          <w:sz w:val="28"/>
          <w:szCs w:val="28"/>
        </w:rPr>
        <w:t>реконструкции,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C66F8" w:rsidRPr="00AC221F">
        <w:rPr>
          <w:rFonts w:ascii="Times New Roman" w:hAnsi="Times New Roman" w:cs="Times New Roman"/>
          <w:sz w:val="28"/>
          <w:szCs w:val="28"/>
        </w:rPr>
        <w:t>капитального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C66F8" w:rsidRPr="00AC221F">
        <w:rPr>
          <w:rFonts w:ascii="Times New Roman" w:hAnsi="Times New Roman" w:cs="Times New Roman"/>
          <w:sz w:val="28"/>
          <w:szCs w:val="28"/>
        </w:rPr>
        <w:t>ремонта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объекта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(осуществления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работ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сохранению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объектов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культурного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наследия)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определяется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формуле:</w:t>
      </w:r>
    </w:p>
    <w:p w:rsidR="00C16CB6" w:rsidRPr="00AC221F" w:rsidRDefault="009C62FB" w:rsidP="00AC221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сс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пр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12</m:t>
                        </m:r>
                      </m:deg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Ит</m:t>
                        </m:r>
                      </m:e>
                    </m:rad>
                  </m:e>
                </m:d>
              </m:e>
              <m:sup>
                <m:eqArr>
                  <m:eqArr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мес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нач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</m:e>
                </m:eqAr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12</m:t>
                        </m:r>
                      </m:deg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Ит</m:t>
                        </m:r>
                      </m:e>
                    </m:rad>
                  </m:e>
                </m:d>
              </m:e>
              <m:sup>
                <m:eqArr>
                  <m:eqArr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мес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оконч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</m:e>
                </m:eqAr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="00D32651" w:rsidRPr="00AC221F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12308B" w:rsidRPr="00AC221F" w:rsidRDefault="0012308B" w:rsidP="00AC221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2308B" w:rsidRPr="00AC221F" w:rsidRDefault="0012308B" w:rsidP="00AC221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2651" w:rsidRPr="00AC221F" w:rsidRDefault="00D32651" w:rsidP="00AC221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221F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32651" w:rsidRPr="00AC221F" w:rsidRDefault="00D32651" w:rsidP="00AC221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мес.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21F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AC221F">
        <w:rPr>
          <w:rFonts w:ascii="Times New Roman" w:hAnsi="Times New Roman" w:cs="Times New Roman"/>
          <w:sz w:val="28"/>
          <w:szCs w:val="28"/>
        </w:rPr>
        <w:t>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порядковый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месяц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начала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работ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21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C221F">
        <w:rPr>
          <w:rFonts w:ascii="Times New Roman" w:hAnsi="Times New Roman" w:cs="Times New Roman"/>
          <w:sz w:val="28"/>
          <w:szCs w:val="28"/>
        </w:rPr>
        <w:t>-м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году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(например,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если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март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3);</w:t>
      </w:r>
    </w:p>
    <w:p w:rsidR="00D32651" w:rsidRPr="00AC221F" w:rsidRDefault="00D32651" w:rsidP="00AC221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lastRenderedPageBreak/>
        <w:t>мес.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21F">
        <w:rPr>
          <w:rFonts w:ascii="Times New Roman" w:hAnsi="Times New Roman" w:cs="Times New Roman"/>
          <w:sz w:val="28"/>
          <w:szCs w:val="28"/>
        </w:rPr>
        <w:t>оконч</w:t>
      </w:r>
      <w:proofErr w:type="spellEnd"/>
      <w:r w:rsidRPr="00AC221F">
        <w:rPr>
          <w:rFonts w:ascii="Times New Roman" w:hAnsi="Times New Roman" w:cs="Times New Roman"/>
          <w:sz w:val="28"/>
          <w:szCs w:val="28"/>
        </w:rPr>
        <w:t>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порядковый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месяц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окончания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работ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i-м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году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(например,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если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декабрь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12).</w:t>
      </w:r>
    </w:p>
    <w:p w:rsidR="00D32651" w:rsidRPr="00AC221F" w:rsidRDefault="00D32651" w:rsidP="00AC221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21F">
        <w:rPr>
          <w:rFonts w:ascii="Times New Roman" w:hAnsi="Times New Roman" w:cs="Times New Roman"/>
          <w:sz w:val="28"/>
          <w:szCs w:val="28"/>
        </w:rPr>
        <w:t>К</w:t>
      </w:r>
      <w:r w:rsidRPr="00AC221F">
        <w:rPr>
          <w:rFonts w:ascii="Times New Roman" w:hAnsi="Times New Roman" w:cs="Times New Roman"/>
          <w:sz w:val="28"/>
          <w:szCs w:val="28"/>
          <w:vertAlign w:val="subscript"/>
        </w:rPr>
        <w:t>тен</w:t>
      </w:r>
      <w:proofErr w:type="spellEnd"/>
      <w:r w:rsidRPr="00AC221F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AC221F" w:rsidRPr="00AC22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AC221F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proofErr w:type="spellEnd"/>
      <w:r w:rsidRPr="00AC221F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коэффициент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снижения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начальной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максимальной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(далее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НМЦК),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который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был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предложен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подрядчиком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участии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торгах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право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заключения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контракта;</w:t>
      </w:r>
    </w:p>
    <w:p w:rsidR="00D32651" w:rsidRPr="00AC221F" w:rsidRDefault="00D32651" w:rsidP="00AC221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AC221F">
        <w:rPr>
          <w:rFonts w:ascii="Times New Roman" w:hAnsi="Times New Roman" w:cs="Times New Roman"/>
          <w:sz w:val="28"/>
          <w:szCs w:val="28"/>
          <w:vertAlign w:val="subscript"/>
        </w:rPr>
        <w:t>вып</w:t>
      </w:r>
      <w:proofErr w:type="spellEnd"/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стоимость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объема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выполненных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подрядчиком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принятых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заказчиком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работ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учетом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тендерного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снижения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НМЦК;</w:t>
      </w:r>
    </w:p>
    <w:p w:rsidR="00D32651" w:rsidRPr="00AC221F" w:rsidRDefault="00D32651" w:rsidP="00AC221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21F">
        <w:rPr>
          <w:rFonts w:ascii="Times New Roman" w:hAnsi="Times New Roman" w:cs="Times New Roman"/>
          <w:sz w:val="28"/>
          <w:szCs w:val="28"/>
        </w:rPr>
        <w:t>З</w:t>
      </w:r>
      <w:r w:rsidRPr="00AC221F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gramStart"/>
      <w:r w:rsidRPr="00AC221F">
        <w:rPr>
          <w:rFonts w:ascii="Times New Roman" w:hAnsi="Times New Roman" w:cs="Times New Roman"/>
          <w:sz w:val="28"/>
          <w:szCs w:val="28"/>
          <w:vertAlign w:val="subscript"/>
        </w:rPr>
        <w:t>.п</w:t>
      </w:r>
      <w:proofErr w:type="spellEnd"/>
      <w:proofErr w:type="gramEnd"/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–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сметная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прибыль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выполненные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работы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согласно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первоначальной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сметной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стоимости,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заключении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учетом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тендерного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снижения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НМЦК.</w:t>
      </w:r>
    </w:p>
    <w:p w:rsidR="00153B0D" w:rsidRPr="00AC221F" w:rsidRDefault="00153B0D" w:rsidP="00AC22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1</w:t>
      </w:r>
      <w:r w:rsidR="003B556F" w:rsidRPr="00AC221F">
        <w:rPr>
          <w:rFonts w:ascii="Times New Roman" w:hAnsi="Times New Roman" w:cs="Times New Roman"/>
          <w:sz w:val="28"/>
          <w:szCs w:val="28"/>
        </w:rPr>
        <w:t>1</w:t>
      </w:r>
      <w:r w:rsidRPr="00AC221F">
        <w:rPr>
          <w:rFonts w:ascii="Times New Roman" w:hAnsi="Times New Roman" w:cs="Times New Roman"/>
          <w:sz w:val="28"/>
          <w:szCs w:val="28"/>
        </w:rPr>
        <w:t>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21F">
        <w:rPr>
          <w:rFonts w:ascii="Times New Roman" w:hAnsi="Times New Roman" w:cs="Times New Roman"/>
          <w:sz w:val="28"/>
          <w:szCs w:val="28"/>
        </w:rPr>
        <w:t>Согласованное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существенных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том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числе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(увеличение)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является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основанием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для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подготовки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проекта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постановления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C66F8" w:rsidRPr="00AC221F">
        <w:rPr>
          <w:rFonts w:ascii="Times New Roman" w:hAnsi="Times New Roman" w:cs="Times New Roman"/>
          <w:sz w:val="28"/>
          <w:szCs w:val="28"/>
        </w:rPr>
        <w:t>а</w:t>
      </w:r>
      <w:r w:rsidRPr="00AC221F">
        <w:rPr>
          <w:rFonts w:ascii="Times New Roman" w:hAnsi="Times New Roman" w:cs="Times New Roman"/>
          <w:sz w:val="28"/>
          <w:szCs w:val="28"/>
        </w:rPr>
        <w:t>дминистрации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0F5268" w:rsidRPr="00AC221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0F5268" w:rsidRPr="00AC221F">
        <w:rPr>
          <w:rFonts w:ascii="Times New Roman" w:hAnsi="Times New Roman" w:cs="Times New Roman"/>
          <w:sz w:val="28"/>
          <w:szCs w:val="28"/>
        </w:rPr>
        <w:t>муниципального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0F5268" w:rsidRPr="00AC221F">
        <w:rPr>
          <w:rFonts w:ascii="Times New Roman" w:hAnsi="Times New Roman" w:cs="Times New Roman"/>
          <w:sz w:val="28"/>
          <w:szCs w:val="28"/>
        </w:rPr>
        <w:t>района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0F5268" w:rsidRPr="00AC221F">
        <w:rPr>
          <w:rFonts w:ascii="Times New Roman" w:hAnsi="Times New Roman" w:cs="Times New Roman"/>
          <w:sz w:val="28"/>
          <w:szCs w:val="28"/>
        </w:rPr>
        <w:t>Хабаровского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0F5268" w:rsidRPr="00AC221F">
        <w:rPr>
          <w:rFonts w:ascii="Times New Roman" w:hAnsi="Times New Roman" w:cs="Times New Roman"/>
          <w:sz w:val="28"/>
          <w:szCs w:val="28"/>
        </w:rPr>
        <w:t>края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существенных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условий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том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числе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изменения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(увеличения)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цены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</w:t>
      </w:r>
      <w:r w:rsidR="00756E11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AC221F">
        <w:rPr>
          <w:rFonts w:ascii="Times New Roman" w:hAnsi="Times New Roman" w:cs="Times New Roman"/>
          <w:sz w:val="28"/>
          <w:szCs w:val="28"/>
        </w:rPr>
        <w:t>которое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AC221F">
        <w:rPr>
          <w:rFonts w:ascii="Times New Roman" w:hAnsi="Times New Roman" w:cs="Times New Roman"/>
          <w:sz w:val="28"/>
          <w:szCs w:val="28"/>
        </w:rPr>
        <w:t>подлежит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AC221F">
        <w:rPr>
          <w:rFonts w:ascii="Times New Roman" w:hAnsi="Times New Roman" w:cs="Times New Roman"/>
          <w:sz w:val="28"/>
          <w:szCs w:val="28"/>
        </w:rPr>
        <w:t>согласованию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AC221F">
        <w:rPr>
          <w:rFonts w:ascii="Times New Roman" w:hAnsi="Times New Roman" w:cs="Times New Roman"/>
          <w:sz w:val="28"/>
          <w:szCs w:val="28"/>
        </w:rPr>
        <w:t>Отделом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AC221F">
        <w:rPr>
          <w:rFonts w:ascii="Times New Roman" w:hAnsi="Times New Roman" w:cs="Times New Roman"/>
          <w:sz w:val="28"/>
          <w:szCs w:val="28"/>
        </w:rPr>
        <w:t>капитального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AC221F">
        <w:rPr>
          <w:rFonts w:ascii="Times New Roman" w:hAnsi="Times New Roman" w:cs="Times New Roman"/>
          <w:sz w:val="28"/>
          <w:szCs w:val="28"/>
        </w:rPr>
        <w:t>строительства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AC221F">
        <w:rPr>
          <w:rFonts w:ascii="Times New Roman" w:hAnsi="Times New Roman" w:cs="Times New Roman"/>
          <w:sz w:val="28"/>
          <w:szCs w:val="28"/>
        </w:rPr>
        <w:t>архитектуры,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AC221F">
        <w:rPr>
          <w:rFonts w:ascii="Times New Roman" w:hAnsi="Times New Roman" w:cs="Times New Roman"/>
          <w:sz w:val="28"/>
          <w:szCs w:val="28"/>
        </w:rPr>
        <w:t>Отделом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AC221F">
        <w:rPr>
          <w:rFonts w:ascii="Times New Roman" w:hAnsi="Times New Roman" w:cs="Times New Roman"/>
          <w:sz w:val="28"/>
          <w:szCs w:val="28"/>
        </w:rPr>
        <w:t>юридического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AC221F">
        <w:rPr>
          <w:rFonts w:ascii="Times New Roman" w:hAnsi="Times New Roman" w:cs="Times New Roman"/>
          <w:sz w:val="28"/>
          <w:szCs w:val="28"/>
        </w:rPr>
        <w:t>обеспечения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AC221F">
        <w:rPr>
          <w:rFonts w:ascii="Times New Roman" w:hAnsi="Times New Roman" w:cs="Times New Roman"/>
          <w:sz w:val="28"/>
          <w:szCs w:val="28"/>
        </w:rPr>
        <w:t>деятельности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AC221F">
        <w:rPr>
          <w:rFonts w:ascii="Times New Roman" w:hAnsi="Times New Roman" w:cs="Times New Roman"/>
          <w:sz w:val="28"/>
          <w:szCs w:val="28"/>
        </w:rPr>
        <w:t>администрации,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AC221F">
        <w:rPr>
          <w:rFonts w:ascii="Times New Roman" w:hAnsi="Times New Roman" w:cs="Times New Roman"/>
          <w:sz w:val="28"/>
          <w:szCs w:val="28"/>
        </w:rPr>
        <w:t>Финансовым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756E11" w:rsidRPr="00AC221F">
        <w:rPr>
          <w:rFonts w:ascii="Times New Roman" w:hAnsi="Times New Roman" w:cs="Times New Roman"/>
          <w:sz w:val="28"/>
          <w:szCs w:val="28"/>
        </w:rPr>
        <w:t>управлением</w:t>
      </w:r>
      <w:r w:rsidRPr="00AC22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3B0D" w:rsidRPr="00AC221F" w:rsidRDefault="00153B0D" w:rsidP="00AC22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1</w:t>
      </w:r>
      <w:r w:rsidR="003B556F" w:rsidRPr="00AC221F">
        <w:rPr>
          <w:rFonts w:ascii="Times New Roman" w:hAnsi="Times New Roman" w:cs="Times New Roman"/>
          <w:sz w:val="28"/>
          <w:szCs w:val="28"/>
        </w:rPr>
        <w:t>2</w:t>
      </w:r>
      <w:r w:rsidRPr="00AC221F">
        <w:rPr>
          <w:rFonts w:ascii="Times New Roman" w:hAnsi="Times New Roman" w:cs="Times New Roman"/>
          <w:sz w:val="28"/>
          <w:szCs w:val="28"/>
        </w:rPr>
        <w:t>.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Постановление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DC66F8" w:rsidRPr="00AC221F">
        <w:rPr>
          <w:rFonts w:ascii="Times New Roman" w:hAnsi="Times New Roman" w:cs="Times New Roman"/>
          <w:sz w:val="28"/>
          <w:szCs w:val="28"/>
        </w:rPr>
        <w:t>а</w:t>
      </w:r>
      <w:r w:rsidRPr="00AC221F">
        <w:rPr>
          <w:rFonts w:ascii="Times New Roman" w:hAnsi="Times New Roman" w:cs="Times New Roman"/>
          <w:sz w:val="28"/>
          <w:szCs w:val="28"/>
        </w:rPr>
        <w:t>дминистрации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0F5268" w:rsidRPr="00AC221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0F5268" w:rsidRPr="00AC221F">
        <w:rPr>
          <w:rFonts w:ascii="Times New Roman" w:hAnsi="Times New Roman" w:cs="Times New Roman"/>
          <w:sz w:val="28"/>
          <w:szCs w:val="28"/>
        </w:rPr>
        <w:t>муниципального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0F5268" w:rsidRPr="00AC221F">
        <w:rPr>
          <w:rFonts w:ascii="Times New Roman" w:hAnsi="Times New Roman" w:cs="Times New Roman"/>
          <w:sz w:val="28"/>
          <w:szCs w:val="28"/>
        </w:rPr>
        <w:t>района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0F5268" w:rsidRPr="00AC221F">
        <w:rPr>
          <w:rFonts w:ascii="Times New Roman" w:hAnsi="Times New Roman" w:cs="Times New Roman"/>
          <w:sz w:val="28"/>
          <w:szCs w:val="28"/>
        </w:rPr>
        <w:t>Хабаровского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0F5268" w:rsidRPr="00AC221F">
        <w:rPr>
          <w:rFonts w:ascii="Times New Roman" w:hAnsi="Times New Roman" w:cs="Times New Roman"/>
          <w:sz w:val="28"/>
          <w:szCs w:val="28"/>
        </w:rPr>
        <w:t>края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является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основанием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для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заключения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дополнительного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соглашения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между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заказчиком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подрядчиком.</w:t>
      </w:r>
    </w:p>
    <w:p w:rsidR="00D32651" w:rsidRPr="00AC221F" w:rsidRDefault="00AC221F" w:rsidP="00AC221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E7A" w:rsidRPr="00AC221F" w:rsidRDefault="00905E7A" w:rsidP="00AC221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0F7" w:rsidRPr="00AC221F" w:rsidRDefault="000760F7" w:rsidP="00AC221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268" w:rsidRPr="00AC221F" w:rsidRDefault="000F5268" w:rsidP="00AC221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268" w:rsidRPr="00AC221F" w:rsidRDefault="000F5268" w:rsidP="00AC221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414" w:rsidRDefault="00772414" w:rsidP="00AC22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1F" w:rsidRDefault="00AC221F" w:rsidP="00AC22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1F" w:rsidRDefault="00AC221F" w:rsidP="00AC22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1F" w:rsidRDefault="00AC221F" w:rsidP="00AC22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1F" w:rsidRDefault="00AC221F" w:rsidP="00AC22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1F" w:rsidRDefault="00AC221F" w:rsidP="00AC22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1F" w:rsidRDefault="00AC221F" w:rsidP="00AC22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1F" w:rsidRDefault="00AC221F" w:rsidP="00AC22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1F" w:rsidRDefault="00AC221F" w:rsidP="00AC22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1F" w:rsidRDefault="00AC221F" w:rsidP="00AC22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1F" w:rsidRDefault="00AC221F" w:rsidP="00AC22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1F" w:rsidRDefault="00AC221F" w:rsidP="00AC221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1F" w:rsidRDefault="00AC221F" w:rsidP="00A05E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1F" w:rsidRDefault="00AC221F" w:rsidP="00A05E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33" w:rsidRDefault="00A05E33" w:rsidP="00A05E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E33" w:rsidRDefault="00A05E33" w:rsidP="00A05E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1F" w:rsidRDefault="00AC221F" w:rsidP="00A05E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1F" w:rsidRDefault="00AC221F" w:rsidP="00A05E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BA" w:rsidRPr="00AC221F" w:rsidRDefault="00E149BA" w:rsidP="00A05E3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56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05E33" w:rsidRDefault="00E149BA" w:rsidP="00A05E3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</w:t>
      </w:r>
    </w:p>
    <w:p w:rsidR="00A05E33" w:rsidRDefault="00E149BA" w:rsidP="00A05E3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</w:p>
    <w:p w:rsidR="00A05E33" w:rsidRDefault="00E149BA" w:rsidP="00A05E3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контракта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(цены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контракта)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</w:p>
    <w:p w:rsidR="00A05E33" w:rsidRDefault="00E149BA" w:rsidP="00A05E3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строительству,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реконструкции,</w:t>
      </w:r>
    </w:p>
    <w:p w:rsidR="00A05E33" w:rsidRDefault="00E149BA" w:rsidP="00A05E3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ремонту,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сносу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</w:p>
    <w:p w:rsidR="00A05E33" w:rsidRDefault="00E149BA" w:rsidP="00A05E3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</w:p>
    <w:p w:rsidR="00A05E33" w:rsidRDefault="00E149BA" w:rsidP="00A05E3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proofErr w:type="gramEnd"/>
    </w:p>
    <w:p w:rsidR="00A05E33" w:rsidRDefault="00E149BA" w:rsidP="00A05E3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существенного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E149BA" w:rsidRPr="00AC221F" w:rsidRDefault="00E149BA" w:rsidP="00A05E3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</w:t>
      </w:r>
      <w:r w:rsidR="00AC221F"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</w:p>
    <w:p w:rsidR="00E149BA" w:rsidRPr="00AC221F" w:rsidRDefault="00E149BA" w:rsidP="00AC221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00F34" w:rsidRPr="00AC221F" w:rsidRDefault="00900F34" w:rsidP="00AC221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00F34" w:rsidRPr="00AC221F" w:rsidRDefault="00900F34" w:rsidP="00AC221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17737" w:rsidRPr="00AC221F" w:rsidRDefault="001127B8" w:rsidP="00AC221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ПЕРЕЧЕНЬ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ЗАКАЗЧИКОВ,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737" w:rsidRPr="00AC221F" w:rsidRDefault="001127B8" w:rsidP="00AC221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221F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СТОРОНОЙ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9BA" w:rsidRPr="00AC221F" w:rsidRDefault="001127B8" w:rsidP="00AC221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221F">
        <w:rPr>
          <w:rFonts w:ascii="Times New Roman" w:hAnsi="Times New Roman" w:cs="Times New Roman"/>
          <w:sz w:val="28"/>
          <w:szCs w:val="28"/>
        </w:rPr>
        <w:t>ПРЕДМЕТОМ</w:t>
      </w:r>
      <w:proofErr w:type="gramEnd"/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КОТОРОГО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ЯВЛЯЕТСЯ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ВЫПОЛНЕНИЕ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РАБОТ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СТРОИТЕЛЬСТВУ,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РЕКОНСТРУКЦИИ,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КАПИТАЛЬНОМУ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РЕМОНТУ,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СНОСУ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ОБЪЕКТА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КАПИТАЛЬНОГО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СТРОИТЕЛЬСТВА,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ПРОВЕДЕНИЮ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РАБОТ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СОХРАНЕНИЮ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ОБЪЕКТОВ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КУЛЬТУРНОГО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НАСЛЕДИЯ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КОТОРЫЙ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ЗАКЛЮЧЕН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СООТВЕТСТВИИ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ФЕДЕРАЛЬНЫМ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ЗАКОНОМ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"О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КОНТРАКТНОЙ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СИСТЕМЕ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СФЕРЕ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ЗАКУПОК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ТОВАРОВ,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РАБОТ,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УСЛУГ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ДЛЯ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ОБЕСПЕЧЕНИЯ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ГОСУДАРСТВЕННЫХ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МУНИЦИПАЛЬНЫХ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НУЖД"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ДЛЯ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ОБЕСПЕЧЕНИЯ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МУНИЦИПАЛЬНЫХ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НУЖД</w:t>
      </w:r>
    </w:p>
    <w:p w:rsidR="00147F9E" w:rsidRPr="00AC221F" w:rsidRDefault="00147F9E" w:rsidP="00AC221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27B8" w:rsidRPr="00AC221F" w:rsidRDefault="001127B8" w:rsidP="00AC221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27B8" w:rsidRPr="00AC221F" w:rsidRDefault="00163EE5" w:rsidP="00A05E3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Администрация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муниципального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района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Хабаровского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края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подведомственные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ей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бюджетные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казенные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учреждения</w:t>
      </w:r>
      <w:r w:rsidR="0023403C" w:rsidRPr="00AC221F">
        <w:rPr>
          <w:rFonts w:ascii="Times New Roman" w:hAnsi="Times New Roman" w:cs="Times New Roman"/>
          <w:sz w:val="28"/>
          <w:szCs w:val="28"/>
        </w:rPr>
        <w:t>,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403C" w:rsidRPr="00AC221F">
        <w:rPr>
          <w:rFonts w:ascii="Times New Roman" w:hAnsi="Times New Roman" w:cs="Times New Roman"/>
          <w:sz w:val="28"/>
          <w:szCs w:val="28"/>
        </w:rPr>
        <w:t>муниципальные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403C" w:rsidRPr="00AC221F">
        <w:rPr>
          <w:rFonts w:ascii="Times New Roman" w:hAnsi="Times New Roman" w:cs="Times New Roman"/>
          <w:sz w:val="28"/>
          <w:szCs w:val="28"/>
        </w:rPr>
        <w:t>унитарные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23403C" w:rsidRPr="00AC221F">
        <w:rPr>
          <w:rFonts w:ascii="Times New Roman" w:hAnsi="Times New Roman" w:cs="Times New Roman"/>
          <w:sz w:val="28"/>
          <w:szCs w:val="28"/>
        </w:rPr>
        <w:t>предприятия</w:t>
      </w:r>
      <w:r w:rsidRPr="00AC221F">
        <w:rPr>
          <w:rFonts w:ascii="Times New Roman" w:hAnsi="Times New Roman" w:cs="Times New Roman"/>
          <w:sz w:val="28"/>
          <w:szCs w:val="28"/>
        </w:rPr>
        <w:t>;</w:t>
      </w:r>
    </w:p>
    <w:p w:rsidR="00163EE5" w:rsidRPr="00AC221F" w:rsidRDefault="00163EE5" w:rsidP="00A05E3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Управление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образования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муниципального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района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подведомственные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ему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бюджетные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C7032F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C7032F" w:rsidRPr="00AC221F">
        <w:rPr>
          <w:rFonts w:ascii="Times New Roman" w:hAnsi="Times New Roman" w:cs="Times New Roman"/>
          <w:sz w:val="28"/>
          <w:szCs w:val="28"/>
        </w:rPr>
        <w:t>казенные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учреждения;</w:t>
      </w:r>
    </w:p>
    <w:p w:rsidR="00163EE5" w:rsidRDefault="00163EE5" w:rsidP="00A05E3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1F">
        <w:rPr>
          <w:rFonts w:ascii="Times New Roman" w:hAnsi="Times New Roman" w:cs="Times New Roman"/>
          <w:sz w:val="28"/>
          <w:szCs w:val="28"/>
        </w:rPr>
        <w:t>Отдел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культуры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администрации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муниципального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района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подведомственные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ему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Pr="00AC221F">
        <w:rPr>
          <w:rFonts w:ascii="Times New Roman" w:hAnsi="Times New Roman" w:cs="Times New Roman"/>
          <w:sz w:val="28"/>
          <w:szCs w:val="28"/>
        </w:rPr>
        <w:t>бюджетные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C7032F" w:rsidRPr="00AC221F">
        <w:rPr>
          <w:rFonts w:ascii="Times New Roman" w:hAnsi="Times New Roman" w:cs="Times New Roman"/>
          <w:sz w:val="28"/>
          <w:szCs w:val="28"/>
        </w:rPr>
        <w:t>и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C7032F" w:rsidRPr="00AC221F">
        <w:rPr>
          <w:rFonts w:ascii="Times New Roman" w:hAnsi="Times New Roman" w:cs="Times New Roman"/>
          <w:sz w:val="28"/>
          <w:szCs w:val="28"/>
        </w:rPr>
        <w:t>казенные</w:t>
      </w:r>
      <w:r w:rsidR="00AC221F" w:rsidRPr="00AC221F">
        <w:rPr>
          <w:rFonts w:ascii="Times New Roman" w:hAnsi="Times New Roman" w:cs="Times New Roman"/>
          <w:sz w:val="28"/>
          <w:szCs w:val="28"/>
        </w:rPr>
        <w:t xml:space="preserve"> </w:t>
      </w:r>
      <w:r w:rsidR="00AD2DD0" w:rsidRPr="00AC221F">
        <w:rPr>
          <w:rFonts w:ascii="Times New Roman" w:hAnsi="Times New Roman" w:cs="Times New Roman"/>
          <w:sz w:val="28"/>
          <w:szCs w:val="28"/>
        </w:rPr>
        <w:t>учреждения.</w:t>
      </w:r>
    </w:p>
    <w:p w:rsidR="00A05E33" w:rsidRDefault="00A05E33" w:rsidP="00A05E3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5E33" w:rsidRDefault="00A05E33" w:rsidP="00A05E3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5E33" w:rsidRPr="00A05E33" w:rsidRDefault="00A05E33" w:rsidP="00A05E3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</w:t>
      </w:r>
    </w:p>
    <w:sectPr w:rsidR="00A05E33" w:rsidRPr="00A05E33" w:rsidSect="00A05E33">
      <w:headerReference w:type="default" r:id="rId9"/>
      <w:pgSz w:w="11906" w:h="16838"/>
      <w:pgMar w:top="993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5A" w:rsidRDefault="009D5D5A" w:rsidP="0062506A">
      <w:pPr>
        <w:spacing w:after="0" w:line="240" w:lineRule="auto"/>
      </w:pPr>
      <w:r>
        <w:separator/>
      </w:r>
    </w:p>
  </w:endnote>
  <w:endnote w:type="continuationSeparator" w:id="0">
    <w:p w:rsidR="009D5D5A" w:rsidRDefault="009D5D5A" w:rsidP="0062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5A" w:rsidRDefault="009D5D5A" w:rsidP="0062506A">
      <w:pPr>
        <w:spacing w:after="0" w:line="240" w:lineRule="auto"/>
      </w:pPr>
      <w:r>
        <w:separator/>
      </w:r>
    </w:p>
  </w:footnote>
  <w:footnote w:type="continuationSeparator" w:id="0">
    <w:p w:rsidR="009D5D5A" w:rsidRDefault="009D5D5A" w:rsidP="0062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40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5E33" w:rsidRPr="00A05E33" w:rsidRDefault="009C62F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5E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05E33" w:rsidRPr="00A05E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05E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081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05E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5E33" w:rsidRDefault="00A05E3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BA3C00"/>
    <w:multiLevelType w:val="hybridMultilevel"/>
    <w:tmpl w:val="5920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044DF"/>
    <w:multiLevelType w:val="hybridMultilevel"/>
    <w:tmpl w:val="CAAE04D4"/>
    <w:lvl w:ilvl="0" w:tplc="DD2EC25C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27292"/>
    <w:multiLevelType w:val="hybridMultilevel"/>
    <w:tmpl w:val="8A6A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85F"/>
    <w:multiLevelType w:val="hybridMultilevel"/>
    <w:tmpl w:val="794A7C76"/>
    <w:lvl w:ilvl="0" w:tplc="168ECD9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16E"/>
    <w:rsid w:val="0000033E"/>
    <w:rsid w:val="00000F22"/>
    <w:rsid w:val="00016D95"/>
    <w:rsid w:val="00026C67"/>
    <w:rsid w:val="0005587E"/>
    <w:rsid w:val="00062C75"/>
    <w:rsid w:val="000670C3"/>
    <w:rsid w:val="00073136"/>
    <w:rsid w:val="000760F7"/>
    <w:rsid w:val="00081A4B"/>
    <w:rsid w:val="00096072"/>
    <w:rsid w:val="000A41B5"/>
    <w:rsid w:val="000B7F9B"/>
    <w:rsid w:val="000C6DCD"/>
    <w:rsid w:val="000F5268"/>
    <w:rsid w:val="001127B8"/>
    <w:rsid w:val="00122605"/>
    <w:rsid w:val="0012308B"/>
    <w:rsid w:val="00125F63"/>
    <w:rsid w:val="00147F9E"/>
    <w:rsid w:val="00152EFA"/>
    <w:rsid w:val="00153B0D"/>
    <w:rsid w:val="00154771"/>
    <w:rsid w:val="00156D72"/>
    <w:rsid w:val="00163EE5"/>
    <w:rsid w:val="00180812"/>
    <w:rsid w:val="00184BBD"/>
    <w:rsid w:val="00187217"/>
    <w:rsid w:val="00192713"/>
    <w:rsid w:val="001A4091"/>
    <w:rsid w:val="001B1B26"/>
    <w:rsid w:val="001C2B48"/>
    <w:rsid w:val="001D21BB"/>
    <w:rsid w:val="001D6C31"/>
    <w:rsid w:val="00222CDD"/>
    <w:rsid w:val="00226C68"/>
    <w:rsid w:val="00230C42"/>
    <w:rsid w:val="002333D2"/>
    <w:rsid w:val="0023403C"/>
    <w:rsid w:val="00235543"/>
    <w:rsid w:val="00236F73"/>
    <w:rsid w:val="00237DF1"/>
    <w:rsid w:val="00247D06"/>
    <w:rsid w:val="00253CA6"/>
    <w:rsid w:val="00272CC1"/>
    <w:rsid w:val="00283A1D"/>
    <w:rsid w:val="002A6B4C"/>
    <w:rsid w:val="002B0149"/>
    <w:rsid w:val="002B1463"/>
    <w:rsid w:val="002B58F7"/>
    <w:rsid w:val="002C74D7"/>
    <w:rsid w:val="002C7E15"/>
    <w:rsid w:val="002D315B"/>
    <w:rsid w:val="002E3B44"/>
    <w:rsid w:val="00310EA3"/>
    <w:rsid w:val="003152BE"/>
    <w:rsid w:val="0033296E"/>
    <w:rsid w:val="00341281"/>
    <w:rsid w:val="00344B5C"/>
    <w:rsid w:val="00346C1C"/>
    <w:rsid w:val="003475B9"/>
    <w:rsid w:val="00360618"/>
    <w:rsid w:val="00375B27"/>
    <w:rsid w:val="0037769C"/>
    <w:rsid w:val="00377FBE"/>
    <w:rsid w:val="0038116E"/>
    <w:rsid w:val="0038525E"/>
    <w:rsid w:val="00393733"/>
    <w:rsid w:val="003B556F"/>
    <w:rsid w:val="003D4996"/>
    <w:rsid w:val="003E044F"/>
    <w:rsid w:val="003E11FC"/>
    <w:rsid w:val="003E2B52"/>
    <w:rsid w:val="003E3D53"/>
    <w:rsid w:val="003F4160"/>
    <w:rsid w:val="004028BC"/>
    <w:rsid w:val="00403174"/>
    <w:rsid w:val="0040391E"/>
    <w:rsid w:val="0040537C"/>
    <w:rsid w:val="00426F5D"/>
    <w:rsid w:val="004304BC"/>
    <w:rsid w:val="00436BCC"/>
    <w:rsid w:val="0044712C"/>
    <w:rsid w:val="00467EC7"/>
    <w:rsid w:val="0048130B"/>
    <w:rsid w:val="004917A8"/>
    <w:rsid w:val="004A37C8"/>
    <w:rsid w:val="004A68B8"/>
    <w:rsid w:val="004E2A9D"/>
    <w:rsid w:val="004E5106"/>
    <w:rsid w:val="004F737A"/>
    <w:rsid w:val="00506405"/>
    <w:rsid w:val="0051077F"/>
    <w:rsid w:val="005117F4"/>
    <w:rsid w:val="00516688"/>
    <w:rsid w:val="00516987"/>
    <w:rsid w:val="00517DBD"/>
    <w:rsid w:val="0056050F"/>
    <w:rsid w:val="0056251E"/>
    <w:rsid w:val="00562FC0"/>
    <w:rsid w:val="00566FDA"/>
    <w:rsid w:val="00585C9C"/>
    <w:rsid w:val="00590410"/>
    <w:rsid w:val="0059635C"/>
    <w:rsid w:val="005A6E4C"/>
    <w:rsid w:val="005D7A48"/>
    <w:rsid w:val="005E4B34"/>
    <w:rsid w:val="005E686C"/>
    <w:rsid w:val="005F3A4D"/>
    <w:rsid w:val="006249DA"/>
    <w:rsid w:val="0062506A"/>
    <w:rsid w:val="00641ACC"/>
    <w:rsid w:val="00642FF8"/>
    <w:rsid w:val="00656C24"/>
    <w:rsid w:val="0067432C"/>
    <w:rsid w:val="00687F77"/>
    <w:rsid w:val="00695C2E"/>
    <w:rsid w:val="00697BEF"/>
    <w:rsid w:val="006A0CDE"/>
    <w:rsid w:val="006D07E5"/>
    <w:rsid w:val="006F1526"/>
    <w:rsid w:val="006F328D"/>
    <w:rsid w:val="00704096"/>
    <w:rsid w:val="00720C88"/>
    <w:rsid w:val="00733C46"/>
    <w:rsid w:val="007457AF"/>
    <w:rsid w:val="00752C26"/>
    <w:rsid w:val="00756E11"/>
    <w:rsid w:val="00772414"/>
    <w:rsid w:val="00773952"/>
    <w:rsid w:val="00783BD0"/>
    <w:rsid w:val="0079442E"/>
    <w:rsid w:val="00795AB6"/>
    <w:rsid w:val="00796019"/>
    <w:rsid w:val="007A3315"/>
    <w:rsid w:val="007B103F"/>
    <w:rsid w:val="007B3A34"/>
    <w:rsid w:val="007C2C83"/>
    <w:rsid w:val="007F1BD5"/>
    <w:rsid w:val="007F66B7"/>
    <w:rsid w:val="00802839"/>
    <w:rsid w:val="00802C2A"/>
    <w:rsid w:val="00805C9F"/>
    <w:rsid w:val="008169F1"/>
    <w:rsid w:val="008178BB"/>
    <w:rsid w:val="00836C6E"/>
    <w:rsid w:val="00861511"/>
    <w:rsid w:val="008658AB"/>
    <w:rsid w:val="0089089B"/>
    <w:rsid w:val="008B378A"/>
    <w:rsid w:val="008B6705"/>
    <w:rsid w:val="008C6515"/>
    <w:rsid w:val="008F5CC9"/>
    <w:rsid w:val="00900F34"/>
    <w:rsid w:val="00901685"/>
    <w:rsid w:val="009048F0"/>
    <w:rsid w:val="0090519F"/>
    <w:rsid w:val="00905E7A"/>
    <w:rsid w:val="009060F6"/>
    <w:rsid w:val="00917737"/>
    <w:rsid w:val="00924A50"/>
    <w:rsid w:val="00941FDB"/>
    <w:rsid w:val="00942342"/>
    <w:rsid w:val="00944019"/>
    <w:rsid w:val="00944C48"/>
    <w:rsid w:val="009567A5"/>
    <w:rsid w:val="0098629F"/>
    <w:rsid w:val="009B1BD3"/>
    <w:rsid w:val="009C62FB"/>
    <w:rsid w:val="009D5D5A"/>
    <w:rsid w:val="009E43A5"/>
    <w:rsid w:val="009E4473"/>
    <w:rsid w:val="009F24E7"/>
    <w:rsid w:val="009F5D8C"/>
    <w:rsid w:val="00A05E33"/>
    <w:rsid w:val="00A11D42"/>
    <w:rsid w:val="00A174DA"/>
    <w:rsid w:val="00A2388B"/>
    <w:rsid w:val="00A2704C"/>
    <w:rsid w:val="00A67135"/>
    <w:rsid w:val="00A84F77"/>
    <w:rsid w:val="00AA640A"/>
    <w:rsid w:val="00AB5824"/>
    <w:rsid w:val="00AC221F"/>
    <w:rsid w:val="00AD2DD0"/>
    <w:rsid w:val="00AD6417"/>
    <w:rsid w:val="00AE2FE1"/>
    <w:rsid w:val="00AE6EB6"/>
    <w:rsid w:val="00AF03F9"/>
    <w:rsid w:val="00AF1470"/>
    <w:rsid w:val="00B01CE8"/>
    <w:rsid w:val="00B40248"/>
    <w:rsid w:val="00B417AE"/>
    <w:rsid w:val="00B44905"/>
    <w:rsid w:val="00B46E46"/>
    <w:rsid w:val="00B51E5C"/>
    <w:rsid w:val="00B53547"/>
    <w:rsid w:val="00B85DEB"/>
    <w:rsid w:val="00B903FD"/>
    <w:rsid w:val="00B92FBA"/>
    <w:rsid w:val="00B94513"/>
    <w:rsid w:val="00BA2EE7"/>
    <w:rsid w:val="00BA676D"/>
    <w:rsid w:val="00BB1A94"/>
    <w:rsid w:val="00BC3AD0"/>
    <w:rsid w:val="00BD4626"/>
    <w:rsid w:val="00BE01D8"/>
    <w:rsid w:val="00BE4E8C"/>
    <w:rsid w:val="00BF1745"/>
    <w:rsid w:val="00C03C90"/>
    <w:rsid w:val="00C16CB6"/>
    <w:rsid w:val="00C26E90"/>
    <w:rsid w:val="00C3227A"/>
    <w:rsid w:val="00C4176E"/>
    <w:rsid w:val="00C559F3"/>
    <w:rsid w:val="00C67ADF"/>
    <w:rsid w:val="00C7032F"/>
    <w:rsid w:val="00C76630"/>
    <w:rsid w:val="00C87B53"/>
    <w:rsid w:val="00CB49B4"/>
    <w:rsid w:val="00CC31CF"/>
    <w:rsid w:val="00CD513E"/>
    <w:rsid w:val="00CD7507"/>
    <w:rsid w:val="00CE52F9"/>
    <w:rsid w:val="00CF4938"/>
    <w:rsid w:val="00D00F14"/>
    <w:rsid w:val="00D0297E"/>
    <w:rsid w:val="00D02A58"/>
    <w:rsid w:val="00D1667D"/>
    <w:rsid w:val="00D27378"/>
    <w:rsid w:val="00D27D7A"/>
    <w:rsid w:val="00D32651"/>
    <w:rsid w:val="00D36182"/>
    <w:rsid w:val="00D54B9C"/>
    <w:rsid w:val="00D57555"/>
    <w:rsid w:val="00D72B99"/>
    <w:rsid w:val="00D73920"/>
    <w:rsid w:val="00D7693F"/>
    <w:rsid w:val="00D84860"/>
    <w:rsid w:val="00D87A32"/>
    <w:rsid w:val="00DA100C"/>
    <w:rsid w:val="00DA606F"/>
    <w:rsid w:val="00DC4C56"/>
    <w:rsid w:val="00DC66F8"/>
    <w:rsid w:val="00DD4577"/>
    <w:rsid w:val="00DE5EAB"/>
    <w:rsid w:val="00DE7C98"/>
    <w:rsid w:val="00DF1ED0"/>
    <w:rsid w:val="00E06FC4"/>
    <w:rsid w:val="00E149BA"/>
    <w:rsid w:val="00E168AA"/>
    <w:rsid w:val="00E24E34"/>
    <w:rsid w:val="00E26C19"/>
    <w:rsid w:val="00E4025D"/>
    <w:rsid w:val="00E428B8"/>
    <w:rsid w:val="00E55B91"/>
    <w:rsid w:val="00E56398"/>
    <w:rsid w:val="00E6134F"/>
    <w:rsid w:val="00E62894"/>
    <w:rsid w:val="00E7527A"/>
    <w:rsid w:val="00E75B9B"/>
    <w:rsid w:val="00E91ABF"/>
    <w:rsid w:val="00EA521F"/>
    <w:rsid w:val="00EB2407"/>
    <w:rsid w:val="00EC1502"/>
    <w:rsid w:val="00EC5109"/>
    <w:rsid w:val="00EC7F72"/>
    <w:rsid w:val="00ED1D59"/>
    <w:rsid w:val="00EE1193"/>
    <w:rsid w:val="00EE36B3"/>
    <w:rsid w:val="00EF2422"/>
    <w:rsid w:val="00EF5EB3"/>
    <w:rsid w:val="00EF613C"/>
    <w:rsid w:val="00F00385"/>
    <w:rsid w:val="00F04066"/>
    <w:rsid w:val="00F06775"/>
    <w:rsid w:val="00F133B4"/>
    <w:rsid w:val="00F2194F"/>
    <w:rsid w:val="00F26BAF"/>
    <w:rsid w:val="00F462DC"/>
    <w:rsid w:val="00F5045F"/>
    <w:rsid w:val="00F70840"/>
    <w:rsid w:val="00F95D0C"/>
    <w:rsid w:val="00FA3DBB"/>
    <w:rsid w:val="00FB19E1"/>
    <w:rsid w:val="00FD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iPriority w:val="99"/>
    <w:unhideWhenUsed/>
    <w:rsid w:val="00F95D0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2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506A"/>
  </w:style>
  <w:style w:type="paragraph" w:styleId="ab">
    <w:name w:val="footer"/>
    <w:basedOn w:val="a"/>
    <w:link w:val="ac"/>
    <w:uiPriority w:val="99"/>
    <w:unhideWhenUsed/>
    <w:rsid w:val="00625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506A"/>
  </w:style>
  <w:style w:type="paragraph" w:customStyle="1" w:styleId="dt-p">
    <w:name w:val="dt-p"/>
    <w:basedOn w:val="a"/>
    <w:rsid w:val="00CD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CD7507"/>
  </w:style>
  <w:style w:type="character" w:customStyle="1" w:styleId="ConsPlusNormal1">
    <w:name w:val="ConsPlusNormal1"/>
    <w:link w:val="ConsPlusNormal"/>
    <w:uiPriority w:val="99"/>
    <w:locked/>
    <w:rsid w:val="00180812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180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75651740EF83541A1731BBB7E9B55C9C480CEC52AB026E4B23165B72B8722F8F6865F07DEC06E5FB71EDBF87A7DDD6EBC72612156DC45s4h4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39736-918B-4B98-A6F7-BACAD4D9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Кочарян Кристинэ Спартаковна</dc:creator>
  <cp:keywords/>
  <dc:description/>
  <cp:lastModifiedBy>Машбюро</cp:lastModifiedBy>
  <cp:revision>21</cp:revision>
  <cp:lastPrinted>2022-04-18T06:01:00Z</cp:lastPrinted>
  <dcterms:created xsi:type="dcterms:W3CDTF">2022-04-08T07:25:00Z</dcterms:created>
  <dcterms:modified xsi:type="dcterms:W3CDTF">2022-04-21T05:02:00Z</dcterms:modified>
</cp:coreProperties>
</file>