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Прокуратурой Верхнебуреинского района выявлены нарушения</w:t>
        <w:br/>
        <w:t>законодательство об антитеррористической защищенности объекта</w:t>
        <w:br/>
        <w:t>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Прокуратурой Верхнебуреинского района в результате проверки обеспечения антитеррористической защищенности образовательных организаций, расположенных на территории муниципального района выявлены нарушения законодательства в сфере противодействия терроризму.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38" w:val="left"/>
          <w:tab w:pos="4882" w:val="left"/>
        </w:tabs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Во исполнение требований й. 4 ч. 2 ст. 5 Федерального закона «О противодействии терроризму» постановлением Правительства Российской Федерации от 02.08.2019</w:t>
        <w:tab/>
        <w:t>№</w:t>
        <w:tab/>
        <w:t>1006 утверждены требования 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утверждены соответствующие требования (далее - Требования).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На основании п. 5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Между тем входе проведенной прокуратурой Верхнебуреинского района 06.02.2023 проверки установлено, что в муниципальном бюджетном общеобразовательном учреждении гимназии им. З.А. Космодемьянской городского поселения «Рабочий поселок Чегдомын» Верхнебуреинского муниципального района имеется арочный металлодетектор, который на момент проверки находился в нерабочем состоянии в связи с его выключением из электросети. В рамках проверки нарушение устранено.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 целях недопущения подобных нарушений впредь прокуратурой района и.о. директора образовательного учреждения внесено представление, которое рассмотрено и удовлетворено, должностное лицо привлечено к дисциплинарной ответственности в соответствии со ст. 192 Трудового кодекса РФ.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По данному нарушению законодательства прокуратурой района вынесено административное постановление по ч. 1 ст. 20.35 КоАП РФ (нарушение требований к антитеррористической защищенности объектов (территорий) и объектов (территорий) религиозных организаций) в отношении должностного лица. Данное постановление рассмотрено мировой судьей Верхнебуреинского района Хабаровского края, должностное лицо привлечено к административной ответственности в виде штрафа на сумму 30 000 руб.</w:t>
      </w:r>
    </w:p>
    <w:sectPr>
      <w:footnotePr>
        <w:pos w:val="pageBottom"/>
        <w:numFmt w:val="decimal"/>
        <w:numRestart w:val="continuous"/>
      </w:footnotePr>
      <w:pgSz w:w="11900" w:h="16840"/>
      <w:pgMar w:top="910" w:right="1078" w:bottom="910" w:left="1092" w:header="482" w:footer="48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