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26" w:rsidRDefault="006C33EC" w:rsidP="006C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Администрация</w:t>
      </w:r>
    </w:p>
    <w:p w:rsidR="00C67C26" w:rsidRDefault="006C33EC" w:rsidP="006C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 муниципального района</w:t>
      </w:r>
    </w:p>
    <w:p w:rsidR="00C67C26" w:rsidRDefault="00C67C26" w:rsidP="006C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C67C26" w:rsidRDefault="006C33EC" w:rsidP="006C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ПОСТАНОВЛЕНИЕ</w:t>
      </w:r>
    </w:p>
    <w:p w:rsidR="006C33EC" w:rsidRDefault="006C33EC" w:rsidP="006C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C67C26" w:rsidRDefault="00C67C26" w:rsidP="00C67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C67C26" w:rsidRPr="006C33EC" w:rsidRDefault="006C33EC" w:rsidP="00C67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val="ru-RU"/>
        </w:rPr>
      </w:pPr>
      <w:r w:rsidRPr="006C33EC">
        <w:rPr>
          <w:rFonts w:ascii="Times New Roman" w:eastAsia="Times New Roman" w:hAnsi="Times New Roman" w:cs="Times New Roman"/>
          <w:sz w:val="28"/>
          <w:u w:val="single"/>
          <w:lang w:val="ru-RU"/>
        </w:rPr>
        <w:t>13.10.2023 № 701</w:t>
      </w:r>
    </w:p>
    <w:p w:rsidR="00C67C26" w:rsidRDefault="006C33EC" w:rsidP="00C67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п. Чегдомын</w:t>
      </w:r>
    </w:p>
    <w:p w:rsidR="00C67C26" w:rsidRDefault="00C67C26" w:rsidP="00C67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C67C26" w:rsidRDefault="00C67C26" w:rsidP="00C67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593268" w:rsidRPr="00A06CDB" w:rsidRDefault="00593268" w:rsidP="00C67C26">
      <w:pPr>
        <w:spacing w:after="0" w:line="240" w:lineRule="exact"/>
        <w:ind w:right="-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внесении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изменений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постановление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16.01.2023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7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«О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б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> 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утверждении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Плана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меропри</w:t>
      </w:r>
      <w:r>
        <w:rPr>
          <w:rFonts w:ascii="Times New Roman" w:eastAsia="Times New Roman" w:hAnsi="Times New Roman" w:cs="Times New Roman"/>
          <w:sz w:val="28"/>
          <w:lang w:val="ru-RU"/>
        </w:rPr>
        <w:t>ят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ий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до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2030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года,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утвержденной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Правительства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Федерации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31</w:t>
      </w:r>
      <w:r w:rsidR="002449C2">
        <w:rPr>
          <w:rFonts w:ascii="Times New Roman" w:eastAsia="Times New Roman" w:hAnsi="Times New Roman" w:cs="Times New Roman"/>
          <w:sz w:val="28"/>
          <w:lang w:val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г.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lang w:val="ru-RU"/>
        </w:rPr>
        <w:t>678-р,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территории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1-й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этап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2022</w:t>
      </w:r>
      <w:r>
        <w:rPr>
          <w:rFonts w:ascii="Times New Roman" w:eastAsia="Times New Roman" w:hAnsi="Times New Roman" w:cs="Times New Roman"/>
          <w:sz w:val="28"/>
          <w:lang w:val="ru-RU"/>
        </w:rPr>
        <w:t>-2024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годы)»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593268" w:rsidRDefault="00593268" w:rsidP="00C67C26">
      <w:pPr>
        <w:spacing w:after="5" w:line="245" w:lineRule="auto"/>
        <w:ind w:right="-2" w:firstLine="705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2449C2" w:rsidRDefault="002449C2" w:rsidP="00C67C26">
      <w:pPr>
        <w:spacing w:after="5" w:line="245" w:lineRule="auto"/>
        <w:ind w:right="-2" w:firstLine="705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593268" w:rsidRDefault="00593268" w:rsidP="00C67C26">
      <w:pPr>
        <w:spacing w:after="5" w:line="245" w:lineRule="auto"/>
        <w:ind w:right="-2" w:firstLine="70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gramStart"/>
      <w:r w:rsidRPr="00A06CDB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соответствии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с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Уставом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принятым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решением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Собрания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депутатов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24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мая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2005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года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№42,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основании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Плана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мероприятий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до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2030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года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</w:rPr>
        <w:t>I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этап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(2022-2024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годы)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целевых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показателей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детей,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утвержденн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ых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Правительства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Федерации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31</w:t>
      </w:r>
      <w:r w:rsidR="002449C2">
        <w:rPr>
          <w:rFonts w:ascii="Times New Roman" w:eastAsia="Times New Roman" w:hAnsi="Times New Roman" w:cs="Times New Roman"/>
          <w:sz w:val="28"/>
          <w:lang w:val="ru-RU"/>
        </w:rPr>
        <w:t>.03.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678-р,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комиссии</w:t>
      </w:r>
      <w:proofErr w:type="gramEnd"/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делам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несовершеннолетних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защите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их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прав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Правительстве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14.06.2023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№3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«О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мерах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обеспечению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занятости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повышению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доступности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несовершеннолетних,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состоящих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различных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учета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органах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учреждениях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системы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профилактики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безнадзорности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правонарушений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несовершеннолетних»,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администрация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края</w:t>
      </w:r>
    </w:p>
    <w:p w:rsidR="00593268" w:rsidRDefault="00593268" w:rsidP="00C67C26">
      <w:pPr>
        <w:spacing w:after="5" w:line="245" w:lineRule="auto"/>
        <w:ind w:right="-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A06CDB">
        <w:rPr>
          <w:rFonts w:ascii="Times New Roman" w:eastAsia="Times New Roman" w:hAnsi="Times New Roman" w:cs="Times New Roman"/>
          <w:sz w:val="28"/>
          <w:lang w:val="ru-RU"/>
        </w:rPr>
        <w:t>ПОСТАНОВЛЯЕТ:</w:t>
      </w:r>
    </w:p>
    <w:p w:rsidR="00593268" w:rsidRPr="00A46E8C" w:rsidRDefault="00593268" w:rsidP="00C67C26">
      <w:pPr>
        <w:pStyle w:val="a3"/>
        <w:numPr>
          <w:ilvl w:val="0"/>
          <w:numId w:val="1"/>
        </w:numPr>
        <w:spacing w:after="5" w:line="245" w:lineRule="auto"/>
        <w:ind w:left="0" w:right="-2" w:firstLine="709"/>
        <w:jc w:val="both"/>
        <w:rPr>
          <w:lang w:val="ru-RU"/>
        </w:rPr>
      </w:pP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7226935</wp:posOffset>
            </wp:positionH>
            <wp:positionV relativeFrom="page">
              <wp:posOffset>8312150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7208520</wp:posOffset>
            </wp:positionH>
            <wp:positionV relativeFrom="page">
              <wp:posOffset>5584190</wp:posOffset>
            </wp:positionV>
            <wp:extent cx="6350" cy="63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737870</wp:posOffset>
            </wp:positionH>
            <wp:positionV relativeFrom="page">
              <wp:posOffset>6294120</wp:posOffset>
            </wp:positionV>
            <wp:extent cx="8890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7299960</wp:posOffset>
            </wp:positionH>
            <wp:positionV relativeFrom="page">
              <wp:posOffset>6644640</wp:posOffset>
            </wp:positionV>
            <wp:extent cx="6350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7320915</wp:posOffset>
            </wp:positionH>
            <wp:positionV relativeFrom="page">
              <wp:posOffset>9372600</wp:posOffset>
            </wp:positionV>
            <wp:extent cx="8890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7995" w:rsidRPr="001F7995">
        <w:rPr>
          <w:rFonts w:ascii="Times New Roman" w:eastAsia="Times New Roman" w:hAnsi="Times New Roman" w:cs="Times New Roman"/>
          <w:sz w:val="28"/>
          <w:lang w:val="ru-RU"/>
        </w:rPr>
        <w:t>Внести</w:t>
      </w:r>
      <w:r w:rsidR="00C67C26">
        <w:rPr>
          <w:rFonts w:ascii="Calibri" w:hAnsi="Calibri" w:cs="Calibri"/>
          <w:noProof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постановление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16.01.2023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7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«О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б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> 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утверждении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Плана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меропри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ят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ий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до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2030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года,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утвержденной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Правительства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Федерации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31</w:t>
      </w:r>
      <w:r w:rsidR="008D750E">
        <w:rPr>
          <w:rFonts w:ascii="Times New Roman" w:eastAsia="Times New Roman" w:hAnsi="Times New Roman" w:cs="Times New Roman"/>
          <w:sz w:val="28"/>
          <w:lang w:val="ru-RU"/>
        </w:rPr>
        <w:t xml:space="preserve"> марта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8D750E">
        <w:rPr>
          <w:rFonts w:ascii="Times New Roman" w:eastAsia="Times New Roman" w:hAnsi="Times New Roman" w:cs="Times New Roman"/>
          <w:sz w:val="28"/>
          <w:lang w:val="ru-RU"/>
        </w:rPr>
        <w:t>г.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678-р,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территории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1-й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этап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(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-2024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годы)»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(далее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–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7B78F7"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остановление)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следующие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изменения:</w:t>
      </w:r>
    </w:p>
    <w:p w:rsidR="00A46E8C" w:rsidRDefault="007B78F7" w:rsidP="00C67C26">
      <w:pPr>
        <w:pStyle w:val="a3"/>
        <w:numPr>
          <w:ilvl w:val="1"/>
          <w:numId w:val="1"/>
        </w:numPr>
        <w:spacing w:after="5" w:line="245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риложение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остановлению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изложить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редакции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согласно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риложению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настоящему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постановлению</w:t>
      </w:r>
      <w:r w:rsidR="006063A0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6D4526" w:rsidRPr="00835E41" w:rsidRDefault="006D4526" w:rsidP="00C67C26">
      <w:pPr>
        <w:numPr>
          <w:ilvl w:val="0"/>
          <w:numId w:val="1"/>
        </w:numPr>
        <w:spacing w:after="5" w:line="245" w:lineRule="auto"/>
        <w:ind w:left="0" w:right="-2" w:firstLine="709"/>
        <w:jc w:val="both"/>
        <w:rPr>
          <w:lang w:val="ru-RU"/>
        </w:rPr>
      </w:pPr>
      <w:r w:rsidRPr="00A06CDB">
        <w:rPr>
          <w:rFonts w:ascii="Times New Roman" w:eastAsia="Times New Roman" w:hAnsi="Times New Roman" w:cs="Times New Roman"/>
          <w:sz w:val="28"/>
          <w:lang w:val="ru-RU"/>
        </w:rPr>
        <w:t>Управлению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Верхнебур</w:t>
      </w:r>
      <w:r w:rsidR="002449C2">
        <w:rPr>
          <w:rFonts w:ascii="Times New Roman" w:eastAsia="Times New Roman" w:hAnsi="Times New Roman" w:cs="Times New Roman"/>
          <w:sz w:val="28"/>
          <w:lang w:val="ru-RU"/>
        </w:rPr>
        <w:t>е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инского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lang w:val="ru-RU"/>
        </w:rPr>
        <w:t>Митяшова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О.П.)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обеспечить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lastRenderedPageBreak/>
        <w:t>реализацию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Плана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достижение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целевых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показателей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установленные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сроки.</w:t>
      </w:r>
    </w:p>
    <w:p w:rsidR="006D4526" w:rsidRPr="0042256A" w:rsidRDefault="006D4526" w:rsidP="00C67C26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lang w:val="ru-RU"/>
        </w:rPr>
      </w:pPr>
      <w:proofErr w:type="gramStart"/>
      <w:r w:rsidRPr="00A06CDB">
        <w:rPr>
          <w:rFonts w:ascii="Times New Roman" w:eastAsia="Times New Roman" w:hAnsi="Times New Roman" w:cs="Times New Roman"/>
          <w:sz w:val="28"/>
          <w:lang w:val="ru-RU"/>
        </w:rPr>
        <w:t>Контроль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за</w:t>
      </w:r>
      <w:proofErr w:type="gramEnd"/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449C2">
        <w:rPr>
          <w:rFonts w:ascii="Times New Roman" w:eastAsia="Times New Roman" w:hAnsi="Times New Roman" w:cs="Times New Roman"/>
          <w:sz w:val="28"/>
          <w:lang w:val="ru-RU"/>
        </w:rPr>
        <w:t>ис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полнением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настоящего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возложить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заместителя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главы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449C2">
        <w:rPr>
          <w:rFonts w:ascii="Times New Roman" w:eastAsia="Times New Roman" w:hAnsi="Times New Roman" w:cs="Times New Roman"/>
          <w:sz w:val="28"/>
          <w:lang w:val="ru-RU"/>
        </w:rPr>
        <w:t>Верхнебуреинского муниципального района Хабаровского края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Гермаш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Т.С.</w:t>
      </w:r>
    </w:p>
    <w:p w:rsidR="006D4526" w:rsidRPr="0042256A" w:rsidRDefault="006D4526" w:rsidP="00C67C26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lang w:val="ru-RU"/>
        </w:rPr>
      </w:pPr>
      <w:r w:rsidRPr="0042256A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="00C67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C67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вступает</w:t>
      </w:r>
      <w:r w:rsidR="00C67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67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="00C67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C67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C67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официального</w:t>
      </w:r>
      <w:r w:rsidR="00C67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опубликования</w:t>
      </w:r>
      <w:r w:rsidR="00C67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(обнародования).</w:t>
      </w:r>
    </w:p>
    <w:p w:rsidR="001E2E84" w:rsidRDefault="001E2E84" w:rsidP="002449C2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2449C2" w:rsidRDefault="002449C2" w:rsidP="002449C2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2449C2" w:rsidRDefault="002449C2" w:rsidP="002449C2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6D4526" w:rsidRPr="006D4526" w:rsidRDefault="006D4526" w:rsidP="002449C2">
      <w:pPr>
        <w:tabs>
          <w:tab w:val="left" w:pos="960"/>
        </w:tabs>
        <w:spacing w:after="0" w:line="240" w:lineRule="exact"/>
        <w:rPr>
          <w:rFonts w:ascii="Times New Roman" w:eastAsia="Times New Roman" w:hAnsi="Times New Roman" w:cs="Times New Roman"/>
          <w:sz w:val="28"/>
          <w:lang w:val="ru-RU"/>
        </w:rPr>
      </w:pPr>
      <w:r w:rsidRPr="006D4526">
        <w:rPr>
          <w:rFonts w:ascii="Times New Roman" w:eastAsia="Times New Roman" w:hAnsi="Times New Roman" w:cs="Times New Roman"/>
          <w:sz w:val="28"/>
          <w:lang w:val="ru-RU"/>
        </w:rPr>
        <w:t>Глава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D4526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449C2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                        </w:t>
      </w:r>
      <w:r w:rsidR="002449C2" w:rsidRPr="006D4526">
        <w:rPr>
          <w:rFonts w:ascii="Times New Roman" w:eastAsia="Times New Roman" w:hAnsi="Times New Roman" w:cs="Times New Roman"/>
          <w:sz w:val="28"/>
          <w:lang w:val="ru-RU"/>
        </w:rPr>
        <w:t>А.М.</w:t>
      </w:r>
      <w:r w:rsidR="002449C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D4526">
        <w:rPr>
          <w:rFonts w:ascii="Times New Roman" w:eastAsia="Times New Roman" w:hAnsi="Times New Roman" w:cs="Times New Roman"/>
          <w:sz w:val="28"/>
          <w:lang w:val="ru-RU"/>
        </w:rPr>
        <w:t>Маслов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887A71" w:rsidRDefault="00887A71">
      <w:pPr>
        <w:rPr>
          <w:lang w:val="ru-RU"/>
        </w:rPr>
        <w:sectPr w:rsidR="00887A71" w:rsidSect="002449C2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Приложение </w:t>
      </w: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постановлению </w:t>
      </w: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администрации </w:t>
      </w: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Верхнебуреинского </w:t>
      </w: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муниципального района</w:t>
      </w: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Хабаровского края</w:t>
      </w: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от </w:t>
      </w:r>
      <w:r w:rsidR="006C33EC">
        <w:rPr>
          <w:rFonts w:ascii="Times New Roman" w:eastAsia="Times New Roman" w:hAnsi="Times New Roman" w:cs="Times New Roman"/>
          <w:sz w:val="28"/>
          <w:lang w:val="ru-RU"/>
        </w:rPr>
        <w:t xml:space="preserve">13.10.2023 </w:t>
      </w:r>
      <w:r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6C33EC">
        <w:rPr>
          <w:rFonts w:ascii="Times New Roman" w:eastAsia="Times New Roman" w:hAnsi="Times New Roman" w:cs="Times New Roman"/>
          <w:sz w:val="28"/>
          <w:lang w:val="ru-RU"/>
        </w:rPr>
        <w:t xml:space="preserve"> 701</w:t>
      </w: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887A71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Приложение</w:t>
      </w: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2449C2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УТВЕРЖДЕН</w:t>
      </w:r>
    </w:p>
    <w:p w:rsidR="00887A71" w:rsidRDefault="00887A71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постановлением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2449C2" w:rsidRDefault="00887A71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</w:p>
    <w:p w:rsidR="00887A71" w:rsidRDefault="00C67C26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887A71" w:rsidRDefault="00887A71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</w:p>
    <w:p w:rsidR="00887A71" w:rsidRDefault="00C67C26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края</w:t>
      </w:r>
    </w:p>
    <w:p w:rsidR="00887A71" w:rsidRDefault="002449C2" w:rsidP="002449C2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от 16.01.2023№ 7</w:t>
      </w:r>
    </w:p>
    <w:p w:rsidR="00887A71" w:rsidRDefault="00887A71" w:rsidP="00887A71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ПЛАН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МЕРОПРИЯТИЙ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557140">
        <w:rPr>
          <w:rFonts w:ascii="Times New Roman" w:eastAsia="Times New Roman" w:hAnsi="Times New Roman" w:cs="Times New Roman"/>
          <w:sz w:val="28"/>
          <w:lang w:val="ru-RU"/>
        </w:rPr>
        <w:t>(изменения)</w:t>
      </w:r>
    </w:p>
    <w:p w:rsidR="00887A71" w:rsidRDefault="00887A71" w:rsidP="00887A71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2030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года,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утвержденной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Правительства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Федерации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31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марта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г.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678-р,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</w:t>
      </w:r>
      <w:r w:rsidR="00B71077">
        <w:rPr>
          <w:rFonts w:ascii="Times New Roman" w:eastAsia="Times New Roman" w:hAnsi="Times New Roman" w:cs="Times New Roman"/>
          <w:sz w:val="28"/>
          <w:lang w:val="ru-RU"/>
        </w:rPr>
        <w:t>еи</w:t>
      </w:r>
      <w:r>
        <w:rPr>
          <w:rFonts w:ascii="Times New Roman" w:eastAsia="Times New Roman" w:hAnsi="Times New Roman" w:cs="Times New Roman"/>
          <w:sz w:val="28"/>
          <w:lang w:val="ru-RU"/>
        </w:rPr>
        <w:t>нском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районе,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1-й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этап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(2022-2024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годы)</w:t>
      </w:r>
    </w:p>
    <w:p w:rsidR="00887A71" w:rsidRDefault="00887A71" w:rsidP="00887A7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Style w:val="a4"/>
        <w:tblW w:w="5000" w:type="pct"/>
        <w:tblLook w:val="04A0"/>
      </w:tblPr>
      <w:tblGrid>
        <w:gridCol w:w="913"/>
        <w:gridCol w:w="3942"/>
        <w:gridCol w:w="2066"/>
        <w:gridCol w:w="3649"/>
        <w:gridCol w:w="2554"/>
        <w:gridCol w:w="2796"/>
      </w:tblGrid>
      <w:tr w:rsidR="007B78F7" w:rsidTr="002449C2">
        <w:tc>
          <w:tcPr>
            <w:tcW w:w="287" w:type="pct"/>
            <w:tcBorders>
              <w:bottom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proofErr w:type="spellEnd"/>
          </w:p>
        </w:tc>
        <w:tc>
          <w:tcPr>
            <w:tcW w:w="1238" w:type="pct"/>
            <w:tcBorders>
              <w:bottom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</w:p>
        </w:tc>
        <w:tc>
          <w:tcPr>
            <w:tcW w:w="649" w:type="pct"/>
            <w:tcBorders>
              <w:bottom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Срок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исполнения</w:t>
            </w:r>
          </w:p>
        </w:tc>
        <w:tc>
          <w:tcPr>
            <w:tcW w:w="1146" w:type="pct"/>
            <w:tcBorders>
              <w:bottom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Исполнители</w:t>
            </w:r>
          </w:p>
        </w:tc>
        <w:tc>
          <w:tcPr>
            <w:tcW w:w="802" w:type="pct"/>
            <w:tcBorders>
              <w:bottom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</w:t>
            </w:r>
          </w:p>
        </w:tc>
        <w:tc>
          <w:tcPr>
            <w:tcW w:w="878" w:type="pct"/>
            <w:tcBorders>
              <w:bottom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показателей</w:t>
            </w:r>
          </w:p>
        </w:tc>
      </w:tr>
    </w:tbl>
    <w:p w:rsidR="002449C2" w:rsidRPr="002449C2" w:rsidRDefault="002449C2" w:rsidP="002449C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/>
      </w:tblPr>
      <w:tblGrid>
        <w:gridCol w:w="913"/>
        <w:gridCol w:w="3942"/>
        <w:gridCol w:w="2066"/>
        <w:gridCol w:w="3649"/>
        <w:gridCol w:w="2554"/>
        <w:gridCol w:w="2796"/>
      </w:tblGrid>
      <w:tr w:rsidR="007B78F7" w:rsidTr="002449C2">
        <w:trPr>
          <w:tblHeader/>
        </w:trPr>
        <w:tc>
          <w:tcPr>
            <w:tcW w:w="287" w:type="pct"/>
            <w:tcBorders>
              <w:top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238" w:type="pct"/>
            <w:tcBorders>
              <w:top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649" w:type="pct"/>
            <w:tcBorders>
              <w:top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146" w:type="pct"/>
            <w:tcBorders>
              <w:top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802" w:type="pct"/>
            <w:tcBorders>
              <w:top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878" w:type="pct"/>
            <w:tcBorders>
              <w:top w:val="double" w:sz="4" w:space="0" w:color="auto"/>
            </w:tcBorders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</w:tr>
      <w:tr w:rsidR="007B78F7" w:rsidRPr="006C33EC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4713" w:type="pct"/>
            <w:gridSpan w:val="5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нормативно-правового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регулирования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сопровождения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1.1.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Приведение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муниципалитета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апреля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№127-ФЗ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внесении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Федерации»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«Об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Федерации»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25.11.2022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Сектор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спорту,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министерство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Хабаровского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(далее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минспорт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края)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показатель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№20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1.2.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информационно-консультационной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(законным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представителям)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детьми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качественного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персонифицированного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финансирования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далее-ПФДО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«горячей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линии»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муниципалитета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ПФДО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заинтересованные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согласованию),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сектора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согласованию)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Министерство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Хабаровского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(далее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края)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№1,2,5,6,28</w:t>
            </w:r>
          </w:p>
        </w:tc>
      </w:tr>
      <w:tr w:rsidR="007B78F7" w:rsidRPr="006C33EC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4713" w:type="pct"/>
            <w:gridSpan w:val="5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доступности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доступности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Верхнебуреинском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Хабаровского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приоритетных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потребностями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категорий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ограниченными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возможностями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нвалидов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25.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№1,2,5,6,7,16,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21,22,23,24,28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2.2.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ребенка»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«Образование»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№1,7,11,21,22,23,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24,25,28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2.3.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доступности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категорий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ограниченными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возможностями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й-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инвалидов,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сектора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экономики,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дистанционных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технологий.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ЦП№1,16,28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2.4.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(за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исключением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предпрофессиональных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реализуемых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01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компетентностей,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эмоциональным,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физическим,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интеллектуальным,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духовным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приоритетами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экономического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потребностями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«Талант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успех»,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проектов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инициативы,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Концепции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индустрий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крупных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крупнейших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агломерациях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2030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распоряжением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Правительства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№2613-р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1,16,28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2.5.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Организационно-методическая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негосударственного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(частного)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сектора,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участвующих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модели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proofErr w:type="gramEnd"/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№1,5,6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2.6.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№1,16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2.7.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направленностям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компонентов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(модулей),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функциональной,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технологической20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финансово,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грамотности</w:t>
            </w:r>
            <w:proofErr w:type="gramEnd"/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№1,16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2.8.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преодоление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реализуемых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каникулярный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период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(включая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организаций)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21мая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2.9.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консультационной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общеразвивающих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независимо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проживания,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экономического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положения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семьи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далее-ежегодно</w:t>
            </w:r>
            <w:proofErr w:type="spellEnd"/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№1,16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2.10.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Увеличение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осваивающих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предпрофессиональные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сств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етских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№9,10</w:t>
            </w:r>
          </w:p>
        </w:tc>
      </w:tr>
      <w:tr w:rsidR="007B78F7" w:rsidRPr="00AA5B3A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2.11.</w:t>
            </w:r>
          </w:p>
        </w:tc>
        <w:tc>
          <w:tcPr>
            <w:tcW w:w="1238" w:type="pct"/>
          </w:tcPr>
          <w:p w:rsidR="007B78F7" w:rsidRPr="00AA5B3A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Вовлечение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ранней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ознакомление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профессиями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«профессиями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будущего»,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самоопределения,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навыков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карьеры,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включающие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инструменты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стажировок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площадках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сектора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экономики,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стороны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предприятий,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высшего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«Билет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будущее»,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»,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WorldSkills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Russia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Juniors</w:t>
            </w:r>
            <w:proofErr w:type="gramEnd"/>
          </w:p>
        </w:tc>
        <w:tc>
          <w:tcPr>
            <w:tcW w:w="649" w:type="pct"/>
          </w:tcPr>
          <w:p w:rsidR="007B78F7" w:rsidRPr="0030459A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далее-ежегодно</w:t>
            </w:r>
            <w:proofErr w:type="spellEnd"/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высшего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среднего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согласованию),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заинтересованные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согласованию),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сектора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согласованию)</w:t>
            </w:r>
            <w:proofErr w:type="gramEnd"/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4,14,15,19</w:t>
            </w:r>
          </w:p>
        </w:tc>
      </w:tr>
      <w:tr w:rsidR="007B78F7" w:rsidRPr="00AA5B3A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2.12.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Вовлечение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научно-техническое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творчество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посредством: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мероприятий: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«Большие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вызовы»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способностей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талантов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молодежи;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этапа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Олимпиады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(НТО,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ранее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Олимпиада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Кружкового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инициативы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(НТИ);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железнодорожного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МБОУ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«Многопрофильный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лицей»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п.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Чегдомын</w:t>
            </w:r>
          </w:p>
        </w:tc>
        <w:tc>
          <w:tcPr>
            <w:tcW w:w="649" w:type="pct"/>
          </w:tcPr>
          <w:p w:rsidR="007B78F7" w:rsidRPr="00FD2790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25.11.2023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КГБПОУ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ЧГТТ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согласованию),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ЦП№3,17,19</w:t>
            </w:r>
          </w:p>
        </w:tc>
      </w:tr>
      <w:tr w:rsidR="007B78F7" w:rsidRPr="00AA5B3A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2.13.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удовлетворенности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(или)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(законных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представителей)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доступностью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сфере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25.11.2022г.,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далее-ежегодно</w:t>
            </w:r>
            <w:proofErr w:type="spellEnd"/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AA5B3A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2.14.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походн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экспедиционной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экскурсионной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обучающимися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№8,18,23,26</w:t>
            </w:r>
          </w:p>
        </w:tc>
      </w:tr>
      <w:tr w:rsidR="007B78F7" w:rsidRPr="00AA5B3A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2.15.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олимпиад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молодежи,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каникулярных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профориентационных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специализированных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календаря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сфере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календарного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календарного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официальных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Верхнебуреинского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Хабаровского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2022,,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заинтересованные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согласованию)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№3,4,16</w:t>
            </w:r>
          </w:p>
        </w:tc>
      </w:tr>
      <w:tr w:rsidR="007B78F7" w:rsidRPr="00AA5B3A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2.16.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общероссийский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«Лучшая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«Молодые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дарования»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№9,10</w:t>
            </w:r>
          </w:p>
        </w:tc>
      </w:tr>
      <w:tr w:rsidR="007B78F7" w:rsidRPr="00AA5B3A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2.17.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Содействие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конференций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посвященных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сохранению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отраслевой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предпрофессиональных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(или)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отечественного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искусства,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отрасли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№9,10</w:t>
            </w:r>
          </w:p>
        </w:tc>
      </w:tr>
      <w:tr w:rsidR="007B78F7" w:rsidRPr="00AA5B3A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2.18.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Содействие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портфолио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обучающегося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информационно-сервисной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платформы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цифровой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достижений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траектории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обучающегося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августа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1,4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2.19.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Содействие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наполнении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лучшими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практиками,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разработками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№1,10,17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2.20.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Содействие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наполнении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всероссийскую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методическую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базу,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лучшими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практиками,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(после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запуска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ним)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№9,10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2.21.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реестра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ограниченными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возможностями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инвалидов,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адаптированных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ограниченными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возможностями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й-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инвалидов.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ЦП№1,16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,21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2.22.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Вовлечение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находящихся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ситуации,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ограниченными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возможностями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нвалидов,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детей-сирот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оставшихся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без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попечения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интеллектуальные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(или)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августа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2023г..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1,16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,22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2.23.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Размещение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«Единый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(функций)»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организациях,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культуры.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,23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2.24.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направленностям,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обеспечивающих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ключевых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компетентностей,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связанных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эмоциональным,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физическим,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интеллектуальным,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духовным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соответствии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приоритетами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71442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мического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района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144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71442">
              <w:rPr>
                <w:rFonts w:ascii="Times New Roman" w:eastAsia="Times New Roman" w:hAnsi="Times New Roman" w:cs="Times New Roman"/>
                <w:sz w:val="28"/>
                <w:lang w:val="ru-RU"/>
              </w:rPr>
              <w:t>августа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71442"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71442"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71442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 w:rsidRPr="00771442"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71442"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2.25.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сетью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сств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елях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политики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сфере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649" w:type="pct"/>
          </w:tcPr>
          <w:p w:rsidR="007B78F7" w:rsidRPr="00771442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9,10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2.26.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Расширение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2.27.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заочного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смотра-конкурса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лучшую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постановку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массового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клубов,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смотр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7,13,22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2.28.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игр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клубов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7,13,22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2.29.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мастерства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спорта,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смотр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Сектор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спорту,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7,13,22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2.30.</w:t>
            </w:r>
          </w:p>
        </w:tc>
        <w:tc>
          <w:tcPr>
            <w:tcW w:w="1238" w:type="pct"/>
          </w:tcPr>
          <w:p w:rsidR="007B78F7" w:rsidRPr="00AD6E90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Открытого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публичного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физкультурно-спортивной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итогам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</w:t>
            </w:r>
          </w:p>
        </w:tc>
        <w:tc>
          <w:tcPr>
            <w:tcW w:w="649" w:type="pct"/>
          </w:tcPr>
          <w:p w:rsidR="007B78F7" w:rsidRPr="00AD6E90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далее-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7,13,22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2.31.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подготовки</w:t>
            </w:r>
          </w:p>
        </w:tc>
        <w:tc>
          <w:tcPr>
            <w:tcW w:w="649" w:type="pct"/>
          </w:tcPr>
          <w:p w:rsidR="007B78F7" w:rsidRPr="00AD6E90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декабря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ДЮСШ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13,20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2.32.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Разработка,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естественно-научной</w:t>
            </w:r>
            <w:proofErr w:type="spellEnd"/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вовлечение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научную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проектно-исследовательскую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№1,19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2.33.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номинаций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Международных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инклюзивных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игр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№16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2.34.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№27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2.35.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краевом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№27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2.36.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разработок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сств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еестре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всероссийскую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методическую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базу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</w:tr>
      <w:tr w:rsidR="007B78F7" w:rsidRPr="006C33EC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4713" w:type="pct"/>
            <w:gridSpan w:val="5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материально-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инфраструктуры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3.1.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модели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«Школа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дня»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счет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средств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«Развитие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образования»,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(дополнительные)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места</w:t>
            </w:r>
            <w:proofErr w:type="gramEnd"/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августа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№1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3.2.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ЦП№9,10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3.3.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осуществляющей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спортивную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районе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ЦП№20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3.4.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театра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(объединения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театрального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кружка)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У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35FC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ЦП№1,21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3.5.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объединения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реализующего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(спортивные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кружки),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Pr="00A35FC0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ЦП№1,7,22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3.6.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объединения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(кружка)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туристско-краеведческой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обязательным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включением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кружка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походно-экспедиционной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экскурсионной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пределами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фактического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местонахождения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Pr="00A35FC0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ЦП№1,8,18,23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3.7.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музейного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(школьного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музея)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г.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ЦП№24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3.8.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клуба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ЦП№7</w:t>
            </w:r>
          </w:p>
        </w:tc>
      </w:tr>
      <w:tr w:rsidR="007B78F7" w:rsidRPr="005D1C38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3.9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медиацентров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2023г.,</w:t>
            </w:r>
          </w:p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ЦП№25</w:t>
            </w:r>
          </w:p>
        </w:tc>
      </w:tr>
      <w:tr w:rsidR="007B78F7" w:rsidRPr="006C33EC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3.10.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материально-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ребенка»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национального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«Образование»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B78F7" w:rsidRPr="006C33EC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4713" w:type="pct"/>
            <w:gridSpan w:val="5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потенциала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</w:p>
        </w:tc>
      </w:tr>
      <w:tr w:rsidR="007B78F7" w:rsidRPr="0080206E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4.1.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функционирования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непрерывного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ЦП№1,17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80206E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4.2.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Содействие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мастерства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целях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специалистов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детей.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организации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ЦП№1,9,10,17,20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80206E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4.3.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привлечению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квалифицированных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ЦП№1,9,10,17,20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80206E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4.4.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специалистов,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работающих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содействие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профессиональному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развитию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МОЦ),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ЦП№1,9,10,17,20</w:t>
            </w:r>
          </w:p>
        </w:tc>
      </w:tr>
      <w:tr w:rsidR="007B78F7" w:rsidRPr="0080206E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4.5.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2023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ЦП№4</w:t>
            </w:r>
          </w:p>
        </w:tc>
      </w:tr>
      <w:tr w:rsidR="007B78F7" w:rsidRPr="0080206E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4.6.</w:t>
            </w:r>
          </w:p>
        </w:tc>
        <w:tc>
          <w:tcPr>
            <w:tcW w:w="1238" w:type="pct"/>
          </w:tcPr>
          <w:p w:rsidR="007B78F7" w:rsidRDefault="00C67C26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института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B78F7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Информационный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ЦП№4</w:t>
            </w:r>
          </w:p>
        </w:tc>
      </w:tr>
      <w:tr w:rsidR="007B78F7" w:rsidRPr="006C33EC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4713" w:type="pct"/>
            <w:gridSpan w:val="5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Концепции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2030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</w:p>
        </w:tc>
      </w:tr>
      <w:tr w:rsidR="007B78F7" w:rsidRPr="0080206E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5.1.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Концепции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2030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утвержденной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распоряжением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Правительства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31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марта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№678-р,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Верхнебуриенском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муниципальном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хабаровского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1-й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(2022-2024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годы)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целевых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показателей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приложением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плану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2022г.,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ежегодно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(МОЦ)</w:t>
            </w:r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</w:t>
            </w:r>
            <w:r w:rsidR="00CB1293">
              <w:rPr>
                <w:rFonts w:ascii="Times New Roman" w:eastAsia="Times New Roman" w:hAnsi="Times New Roman" w:cs="Times New Roman"/>
                <w:sz w:val="28"/>
                <w:lang w:val="ru-RU"/>
              </w:rPr>
              <w:t>,28</w:t>
            </w:r>
          </w:p>
        </w:tc>
      </w:tr>
      <w:tr w:rsidR="007B78F7" w:rsidRPr="006F6E9E" w:rsidTr="002449C2">
        <w:tc>
          <w:tcPr>
            <w:tcW w:w="287" w:type="pct"/>
          </w:tcPr>
          <w:p w:rsidR="007B78F7" w:rsidRDefault="007B78F7" w:rsidP="002449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5.2.</w:t>
            </w:r>
          </w:p>
        </w:tc>
        <w:tc>
          <w:tcPr>
            <w:tcW w:w="123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практики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районе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персонифицированного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включая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таких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показателей,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649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</w:p>
        </w:tc>
        <w:tc>
          <w:tcPr>
            <w:tcW w:w="1146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МБУ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ЦРТДиЮ</w:t>
            </w:r>
            <w:proofErr w:type="spellEnd"/>
          </w:p>
        </w:tc>
        <w:tc>
          <w:tcPr>
            <w:tcW w:w="802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Доклад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Минобрнауки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</w:t>
            </w:r>
          </w:p>
        </w:tc>
        <w:tc>
          <w:tcPr>
            <w:tcW w:w="878" w:type="pct"/>
          </w:tcPr>
          <w:p w:rsidR="007B78F7" w:rsidRDefault="007B78F7" w:rsidP="002449C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ЦП№1,5,6</w:t>
            </w:r>
          </w:p>
        </w:tc>
      </w:tr>
    </w:tbl>
    <w:p w:rsidR="00887A71" w:rsidRDefault="00887A71" w:rsidP="00887A71">
      <w:pPr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887A71" w:rsidRDefault="00887A71" w:rsidP="00887A71">
      <w:pPr>
        <w:jc w:val="center"/>
        <w:rPr>
          <w:rFonts w:ascii="Times New Roman" w:eastAsia="Times New Roman" w:hAnsi="Times New Roman" w:cs="Times New Roman"/>
          <w:sz w:val="28"/>
          <w:lang w:val="ru-RU"/>
        </w:rPr>
        <w:sectPr w:rsidR="00887A71" w:rsidSect="002449C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87A71" w:rsidRDefault="00887A71" w:rsidP="002449C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Приложение</w:t>
      </w:r>
    </w:p>
    <w:p w:rsidR="00887A71" w:rsidRDefault="00887A71" w:rsidP="002449C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Плану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мероприятий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887A71" w:rsidRDefault="00887A71" w:rsidP="002449C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развития</w:t>
      </w:r>
    </w:p>
    <w:p w:rsidR="00887A71" w:rsidRDefault="00C67C26" w:rsidP="002449C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детей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8D750E" w:rsidRDefault="00887A71" w:rsidP="002449C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до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2030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года,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утвержденной</w:t>
      </w:r>
      <w:proofErr w:type="gramEnd"/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887A71" w:rsidRDefault="00887A71" w:rsidP="002449C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Правительства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РФ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31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марта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г.</w:t>
      </w:r>
    </w:p>
    <w:p w:rsidR="00887A71" w:rsidRDefault="00C67C26" w:rsidP="002449C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№678-р,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Верхнебуреинском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районе,</w:t>
      </w:r>
    </w:p>
    <w:p w:rsidR="00887A71" w:rsidRDefault="00C67C26" w:rsidP="002449C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1-й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этап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(2022-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2024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887A71">
        <w:rPr>
          <w:rFonts w:ascii="Times New Roman" w:eastAsia="Times New Roman" w:hAnsi="Times New Roman" w:cs="Times New Roman"/>
          <w:sz w:val="28"/>
          <w:lang w:val="ru-RU"/>
        </w:rPr>
        <w:t>годы)</w:t>
      </w:r>
    </w:p>
    <w:p w:rsidR="00887A71" w:rsidRDefault="00887A71" w:rsidP="0024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887A71" w:rsidRPr="002449C2" w:rsidRDefault="00887A71" w:rsidP="002449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2449C2">
        <w:rPr>
          <w:rFonts w:ascii="Times New Roman" w:eastAsia="Times New Roman" w:hAnsi="Times New Roman" w:cs="Times New Roman"/>
          <w:bCs/>
          <w:sz w:val="28"/>
          <w:lang w:val="ru-RU"/>
        </w:rPr>
        <w:t>ЦЕЛЕВЫЕ</w:t>
      </w:r>
      <w:r w:rsidR="00C67C26" w:rsidRPr="002449C2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r w:rsidRPr="002449C2">
        <w:rPr>
          <w:rFonts w:ascii="Times New Roman" w:eastAsia="Times New Roman" w:hAnsi="Times New Roman" w:cs="Times New Roman"/>
          <w:bCs/>
          <w:sz w:val="28"/>
          <w:lang w:val="ru-RU"/>
        </w:rPr>
        <w:t>ПОКАЗАТЕЛИ</w:t>
      </w:r>
      <w:r w:rsidR="00C67C26" w:rsidRPr="002449C2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r w:rsidR="00D11B3F" w:rsidRPr="002449C2">
        <w:rPr>
          <w:rFonts w:ascii="Times New Roman" w:eastAsia="Times New Roman" w:hAnsi="Times New Roman" w:cs="Times New Roman"/>
          <w:bCs/>
          <w:sz w:val="28"/>
          <w:lang w:val="ru-RU"/>
        </w:rPr>
        <w:t>(дополнение)</w:t>
      </w:r>
    </w:p>
    <w:p w:rsidR="00887A71" w:rsidRDefault="00887A71" w:rsidP="00244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до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2030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года,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утвержденной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Правительства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РФ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31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марта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г.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№678-р,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Верхнебуриенском</w:t>
      </w:r>
      <w:proofErr w:type="spellEnd"/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районе,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1-й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этап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(2022-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2024</w:t>
      </w:r>
      <w:r w:rsidR="00C67C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годы)</w:t>
      </w:r>
    </w:p>
    <w:p w:rsidR="00887A71" w:rsidRDefault="00887A71" w:rsidP="00887A71">
      <w:pPr>
        <w:tabs>
          <w:tab w:val="left" w:pos="3720"/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Style w:val="a4"/>
        <w:tblW w:w="5000" w:type="pct"/>
        <w:tblLook w:val="04A0"/>
      </w:tblPr>
      <w:tblGrid>
        <w:gridCol w:w="540"/>
        <w:gridCol w:w="2625"/>
        <w:gridCol w:w="1162"/>
        <w:gridCol w:w="1281"/>
        <w:gridCol w:w="13"/>
        <w:gridCol w:w="683"/>
        <w:gridCol w:w="12"/>
        <w:gridCol w:w="730"/>
        <w:gridCol w:w="13"/>
        <w:gridCol w:w="683"/>
        <w:gridCol w:w="13"/>
        <w:gridCol w:w="683"/>
        <w:gridCol w:w="13"/>
        <w:gridCol w:w="683"/>
        <w:gridCol w:w="13"/>
        <w:gridCol w:w="683"/>
        <w:gridCol w:w="13"/>
        <w:gridCol w:w="683"/>
        <w:gridCol w:w="13"/>
        <w:gridCol w:w="683"/>
        <w:gridCol w:w="696"/>
        <w:gridCol w:w="1523"/>
        <w:gridCol w:w="2479"/>
      </w:tblGrid>
      <w:tr w:rsidR="00CB1293" w:rsidTr="002449C2">
        <w:tc>
          <w:tcPr>
            <w:tcW w:w="168" w:type="pct"/>
            <w:vMerge w:val="restar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26" w:type="pct"/>
            <w:vMerge w:val="restar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показателя,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770" w:type="pct"/>
            <w:gridSpan w:val="3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Базовое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218" w:type="pct"/>
            <w:gridSpan w:val="2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  <w:gridSpan w:val="2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93" w:rsidTr="002449C2">
        <w:tc>
          <w:tcPr>
            <w:tcW w:w="168" w:type="pct"/>
            <w:vMerge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vMerge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pct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36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</w:t>
            </w:r>
          </w:p>
        </w:tc>
        <w:tc>
          <w:tcPr>
            <w:tcW w:w="217" w:type="pct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</w:p>
        </w:tc>
        <w:tc>
          <w:tcPr>
            <w:tcW w:w="480" w:type="pct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pct"/>
            <w:tcBorders>
              <w:bottom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449C2" w:rsidRPr="002449C2" w:rsidRDefault="002449C2" w:rsidP="002449C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/>
      </w:tblPr>
      <w:tblGrid>
        <w:gridCol w:w="528"/>
        <w:gridCol w:w="2651"/>
        <w:gridCol w:w="1146"/>
        <w:gridCol w:w="1296"/>
        <w:gridCol w:w="687"/>
        <w:gridCol w:w="756"/>
        <w:gridCol w:w="687"/>
        <w:gridCol w:w="688"/>
        <w:gridCol w:w="688"/>
        <w:gridCol w:w="688"/>
        <w:gridCol w:w="688"/>
        <w:gridCol w:w="688"/>
        <w:gridCol w:w="685"/>
        <w:gridCol w:w="1540"/>
        <w:gridCol w:w="2504"/>
      </w:tblGrid>
      <w:tr w:rsidR="00CB1293" w:rsidTr="002449C2">
        <w:trPr>
          <w:tblHeader/>
        </w:trPr>
        <w:tc>
          <w:tcPr>
            <w:tcW w:w="168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2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7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0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80" w:type="pct"/>
            <w:tcBorders>
              <w:top w:val="double" w:sz="4" w:space="0" w:color="auto"/>
            </w:tcBorders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26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охваченных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  <w:tc>
          <w:tcPr>
            <w:tcW w:w="404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36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91,5</w:t>
            </w:r>
          </w:p>
        </w:tc>
        <w:tc>
          <w:tcPr>
            <w:tcW w:w="218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18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  <w:tc>
          <w:tcPr>
            <w:tcW w:w="218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18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93,5</w:t>
            </w:r>
          </w:p>
        </w:tc>
        <w:tc>
          <w:tcPr>
            <w:tcW w:w="218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18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  <w:tc>
          <w:tcPr>
            <w:tcW w:w="217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  <w:tc>
          <w:tcPr>
            <w:tcW w:w="480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Pr="00A512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«Образование»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ФП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показателям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субъектах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агрегирующая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программах,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зачисленных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записаться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выбранную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оплатить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выбранной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(региональный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навигатор)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ДО);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интегрированная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финансами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(далее-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бюджет»)</w:t>
            </w:r>
          </w:p>
        </w:tc>
      </w:tr>
      <w:tr w:rsidR="00CB1293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сертификатами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  <w:tc>
          <w:tcPr>
            <w:tcW w:w="4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</w:p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ЕАИС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26" w:type="pct"/>
          </w:tcPr>
          <w:p w:rsidR="00CB1293" w:rsidRPr="00B10814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технопарков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B10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8,86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8,86</w:t>
            </w:r>
          </w:p>
        </w:tc>
        <w:tc>
          <w:tcPr>
            <w:tcW w:w="4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</w:p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ЕАИС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выдающиеся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0,27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0,28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0,45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0,61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0,67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0,69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4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(Указ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№474);</w:t>
            </w:r>
          </w:p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должностных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(Указ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№68)</w:t>
            </w:r>
          </w:p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негосударственного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(частного)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сектора,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  <w:proofErr w:type="gramEnd"/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№2424-р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(«дорожной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карты»)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годы»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поставщиков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негосударственного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(частного)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сектора,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№2424-р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(«дорожной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карты»)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годы»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Пр-2397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Президенте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историко-культурной,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тематике,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культурно-патриотических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круизах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№Пр-2254</w:t>
            </w:r>
          </w:p>
        </w:tc>
      </w:tr>
      <w:tr w:rsidR="00CB1293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наименованиями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хоровая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цирковая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ремесел»,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Pr="001802F7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«Культура»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предпрофессиональные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сств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етских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«Культура»,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2016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№326-р,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Росстата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№298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статистического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указаниями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статистического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(АИС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Статистика»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Минкультуры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России)</w:t>
            </w:r>
            <w:proofErr w:type="gramEnd"/>
          </w:p>
        </w:tc>
      </w:tr>
      <w:tr w:rsidR="00CB1293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направленностей.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Нарастающий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(единиц).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</w:tc>
      </w:tr>
      <w:tr w:rsidR="00CB1293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городах,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спортом.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Нарастающий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юношеский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студенческий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организаций),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общественно-государственного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«Юность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Нарастающий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(тысяч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человек).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11,47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13,6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</w:p>
        </w:tc>
      </w:tr>
      <w:tr w:rsidR="00CB1293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охваченных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мероприятиями,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раннюю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ориентацию,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ребенка»;</w:t>
            </w:r>
          </w:p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bvbinfo</w:t>
              </w:r>
              <w:proofErr w:type="spellEnd"/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proofErr w:type="gramStart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CB1293" w:rsidRPr="00D370DB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раннюю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приняли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(тыс.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2,37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2,45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2,45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ребенка»;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нвалидов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(тыс.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0,2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№Пр-2254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переподготовку,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крае»,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№177-пр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туристских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историей,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традициями,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знакомства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лицами,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внесшими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весомый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школьниками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«Океан»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Пр-1806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поколения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«Океан»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Пр-1806</w:t>
            </w:r>
          </w:p>
        </w:tc>
      </w:tr>
      <w:tr w:rsidR="00CB1293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спортивную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«Демография»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(театральный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кружок),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75,0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Пункт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Всероссийского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(спортивные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кружки),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кружок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туристско-краеведческой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экспедиционной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экскурсионной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местонахождения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организации),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школьниками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«Океан»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2021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№Пр-1806</w:t>
            </w:r>
          </w:p>
        </w:tc>
      </w:tr>
      <w:tr w:rsidR="00CB1293" w:rsidRPr="006F6E9E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№678-р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B1293" w:rsidRPr="006F6E9E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сеть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детско-юношеского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юношеского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№678-р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B1293" w:rsidRPr="006F6E9E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82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реализуются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404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Pr="009F4ADF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периода</w:t>
            </w:r>
          </w:p>
        </w:tc>
        <w:tc>
          <w:tcPr>
            <w:tcW w:w="780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Концепция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Правительства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№678-р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B1293" w:rsidRPr="006C33EC" w:rsidTr="002449C2">
        <w:tc>
          <w:tcPr>
            <w:tcW w:w="168" w:type="pct"/>
          </w:tcPr>
          <w:p w:rsidR="00CB1293" w:rsidRDefault="00CB1293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826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профилактики,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образованием.</w:t>
            </w:r>
          </w:p>
        </w:tc>
        <w:tc>
          <w:tcPr>
            <w:tcW w:w="362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75%</w:t>
            </w:r>
          </w:p>
        </w:tc>
        <w:tc>
          <w:tcPr>
            <w:tcW w:w="404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36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218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18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18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18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78,5</w:t>
            </w:r>
          </w:p>
        </w:tc>
        <w:tc>
          <w:tcPr>
            <w:tcW w:w="218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18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17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80" w:type="pct"/>
          </w:tcPr>
          <w:p w:rsidR="00CB1293" w:rsidRPr="009F4ADF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650F28" w:rsidP="002449C2">
            <w:pPr>
              <w:tabs>
                <w:tab w:val="left" w:pos="781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C6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«Образование».</w:t>
            </w:r>
          </w:p>
        </w:tc>
      </w:tr>
    </w:tbl>
    <w:p w:rsidR="00CB1293" w:rsidRDefault="00CB1293" w:rsidP="00CB1293">
      <w:pPr>
        <w:tabs>
          <w:tab w:val="left" w:pos="3720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887A71" w:rsidRDefault="00C67C26" w:rsidP="00887A71">
      <w:pPr>
        <w:tabs>
          <w:tab w:val="left" w:pos="7815"/>
        </w:tabs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887A71" w:rsidRPr="00887A71" w:rsidRDefault="00887A71" w:rsidP="002449C2">
      <w:pPr>
        <w:tabs>
          <w:tab w:val="left" w:pos="7815"/>
        </w:tabs>
        <w:jc w:val="center"/>
        <w:rPr>
          <w:rFonts w:asciiTheme="minorHAnsi" w:hAnsiTheme="minorHAnsi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_____________</w:t>
      </w:r>
      <w:r w:rsidR="002449C2">
        <w:rPr>
          <w:rFonts w:ascii="Times New Roman" w:eastAsia="Times New Roman" w:hAnsi="Times New Roman" w:cs="Times New Roman"/>
          <w:sz w:val="28"/>
          <w:lang w:val="ru-RU"/>
        </w:rPr>
        <w:t>_____</w:t>
      </w:r>
    </w:p>
    <w:sectPr w:rsidR="00887A71" w:rsidRPr="00887A71" w:rsidSect="002449C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A2" w:rsidRDefault="00D16BA2" w:rsidP="002449C2">
      <w:pPr>
        <w:spacing w:after="0" w:line="240" w:lineRule="auto"/>
      </w:pPr>
      <w:r>
        <w:separator/>
      </w:r>
    </w:p>
  </w:endnote>
  <w:endnote w:type="continuationSeparator" w:id="0">
    <w:p w:rsidR="00D16BA2" w:rsidRDefault="00D16BA2" w:rsidP="0024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A2" w:rsidRDefault="00D16BA2" w:rsidP="002449C2">
      <w:pPr>
        <w:spacing w:after="0" w:line="240" w:lineRule="auto"/>
      </w:pPr>
      <w:r>
        <w:separator/>
      </w:r>
    </w:p>
  </w:footnote>
  <w:footnote w:type="continuationSeparator" w:id="0">
    <w:p w:rsidR="00D16BA2" w:rsidRDefault="00D16BA2" w:rsidP="0024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6407"/>
      <w:docPartObj>
        <w:docPartGallery w:val="Page Numbers (Top of Page)"/>
        <w:docPartUnique/>
      </w:docPartObj>
    </w:sdtPr>
    <w:sdtContent>
      <w:p w:rsidR="002449C2" w:rsidRDefault="00EC1D84">
        <w:pPr>
          <w:pStyle w:val="a6"/>
          <w:jc w:val="center"/>
        </w:pPr>
        <w:fldSimple w:instr=" PAGE   \* MERGEFORMAT ">
          <w:r w:rsidR="006C33EC">
            <w:rPr>
              <w:noProof/>
            </w:rPr>
            <w:t>2</w:t>
          </w:r>
        </w:fldSimple>
      </w:p>
    </w:sdtContent>
  </w:sdt>
  <w:p w:rsidR="002449C2" w:rsidRDefault="002449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F1D"/>
    <w:multiLevelType w:val="hybridMultilevel"/>
    <w:tmpl w:val="0B30AE20"/>
    <w:lvl w:ilvl="0" w:tplc="8E049F36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62BF2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3647C0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41512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899C0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705A40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4F54A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2B976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AEC72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FB5D69"/>
    <w:multiLevelType w:val="hybridMultilevel"/>
    <w:tmpl w:val="9AB0D6B2"/>
    <w:lvl w:ilvl="0" w:tplc="E6EC6BC4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09270">
      <w:start w:val="1"/>
      <w:numFmt w:val="lowerLetter"/>
      <w:lvlText w:val="%2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411FC">
      <w:start w:val="1"/>
      <w:numFmt w:val="lowerRoman"/>
      <w:lvlText w:val="%3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856F4">
      <w:start w:val="1"/>
      <w:numFmt w:val="decimal"/>
      <w:lvlText w:val="%4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6A592">
      <w:start w:val="1"/>
      <w:numFmt w:val="lowerLetter"/>
      <w:lvlText w:val="%5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62DB7C">
      <w:start w:val="1"/>
      <w:numFmt w:val="lowerRoman"/>
      <w:lvlText w:val="%6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0E4A00">
      <w:start w:val="1"/>
      <w:numFmt w:val="decimal"/>
      <w:lvlText w:val="%7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EE8140">
      <w:start w:val="1"/>
      <w:numFmt w:val="lowerLetter"/>
      <w:lvlText w:val="%8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ABB88">
      <w:start w:val="1"/>
      <w:numFmt w:val="lowerRoman"/>
      <w:lvlText w:val="%9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77731F"/>
    <w:multiLevelType w:val="multilevel"/>
    <w:tmpl w:val="F1EEF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EF8"/>
    <w:rsid w:val="00030A88"/>
    <w:rsid w:val="00125593"/>
    <w:rsid w:val="00145481"/>
    <w:rsid w:val="001E2E84"/>
    <w:rsid w:val="001F7995"/>
    <w:rsid w:val="002449C2"/>
    <w:rsid w:val="002C19AF"/>
    <w:rsid w:val="00384C0A"/>
    <w:rsid w:val="003F2ADB"/>
    <w:rsid w:val="00455275"/>
    <w:rsid w:val="00557140"/>
    <w:rsid w:val="00593268"/>
    <w:rsid w:val="006063A0"/>
    <w:rsid w:val="00650F28"/>
    <w:rsid w:val="006C33EC"/>
    <w:rsid w:val="006D4526"/>
    <w:rsid w:val="007B78F7"/>
    <w:rsid w:val="00887A71"/>
    <w:rsid w:val="00890767"/>
    <w:rsid w:val="008B2C9B"/>
    <w:rsid w:val="008D750E"/>
    <w:rsid w:val="009F6969"/>
    <w:rsid w:val="00A46E8C"/>
    <w:rsid w:val="00B61390"/>
    <w:rsid w:val="00B71077"/>
    <w:rsid w:val="00C57B39"/>
    <w:rsid w:val="00C67C26"/>
    <w:rsid w:val="00CB1293"/>
    <w:rsid w:val="00D11B3F"/>
    <w:rsid w:val="00D16BA2"/>
    <w:rsid w:val="00D23B21"/>
    <w:rsid w:val="00EA1EFB"/>
    <w:rsid w:val="00EC1D84"/>
    <w:rsid w:val="00F033EF"/>
    <w:rsid w:val="00F17EF8"/>
    <w:rsid w:val="00F23BBD"/>
    <w:rsid w:val="00FD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F8"/>
    <w:rPr>
      <w:rFonts w:ascii="Microsoft JhengHei" w:eastAsia="Microsoft JhengHei" w:hAnsi="Microsoft JhengHei" w:cs="Microsoft JhengHe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68"/>
    <w:pPr>
      <w:ind w:left="720"/>
      <w:contextualSpacing/>
    </w:pPr>
  </w:style>
  <w:style w:type="paragraph" w:customStyle="1" w:styleId="ConsPlusNormal">
    <w:name w:val="ConsPlusNormal"/>
    <w:rsid w:val="0059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3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88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7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7A7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49C2"/>
    <w:rPr>
      <w:rFonts w:ascii="Microsoft JhengHei" w:eastAsia="Microsoft JhengHei" w:hAnsi="Microsoft JhengHei" w:cs="Microsoft JhengHei"/>
      <w:color w:val="000000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24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49C2"/>
    <w:rPr>
      <w:rFonts w:ascii="Microsoft JhengHei" w:eastAsia="Microsoft JhengHei" w:hAnsi="Microsoft JhengHei" w:cs="Microsoft JhengHei"/>
      <w:color w:val="00000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D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50E"/>
    <w:rPr>
      <w:rFonts w:ascii="Tahoma" w:eastAsia="Microsoft JhengHe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6C62-9377-4738-8426-A6172392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32</Pages>
  <Words>5970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2023-10-15T23:51:00Z</cp:lastPrinted>
  <dcterms:created xsi:type="dcterms:W3CDTF">2023-10-10T06:34:00Z</dcterms:created>
  <dcterms:modified xsi:type="dcterms:W3CDTF">2023-10-15T23:53:00Z</dcterms:modified>
</cp:coreProperties>
</file>