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41" w:rsidRDefault="00FF1441" w:rsidP="00FF144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FF1441" w:rsidRDefault="00FF1441" w:rsidP="00FF144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FF1441" w:rsidRDefault="00FF1441" w:rsidP="00FF144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441" w:rsidRDefault="00FF1441" w:rsidP="00FF144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F1441" w:rsidRDefault="00FF1441" w:rsidP="00FF144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441" w:rsidRDefault="00FF1441" w:rsidP="00FF144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441" w:rsidRDefault="00FF1441" w:rsidP="00FF144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02.04.2024 № 182</w:t>
      </w:r>
    </w:p>
    <w:p w:rsidR="00FF1441" w:rsidRDefault="00FF1441" w:rsidP="00FF144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911664" w:rsidRPr="00630EAE" w:rsidRDefault="00911664" w:rsidP="00FF1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75582" w:rsidRPr="00630EAE" w:rsidRDefault="00875582" w:rsidP="00FF1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A63CB" w:rsidRPr="00FA63CB" w:rsidRDefault="00FA63CB" w:rsidP="00FA63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3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05.09.2016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2B25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Верхнебуреинском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2017-202</w:t>
      </w:r>
      <w:r w:rsidR="000B19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3CB">
        <w:rPr>
          <w:rFonts w:ascii="Times New Roman" w:eastAsia="Times New Roman" w:hAnsi="Times New Roman" w:cs="Times New Roman"/>
          <w:sz w:val="28"/>
          <w:szCs w:val="28"/>
        </w:rPr>
        <w:t>годы»</w:t>
      </w:r>
    </w:p>
    <w:p w:rsidR="00911664" w:rsidRDefault="00911664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75582" w:rsidRDefault="00875582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75582" w:rsidRPr="00630EAE" w:rsidRDefault="00875582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1664" w:rsidRPr="00630EAE" w:rsidRDefault="00911664" w:rsidP="00911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06.10.2003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131-ФЗ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</w:t>
      </w:r>
      <w:r w:rsidRPr="00630EAE">
        <w:rPr>
          <w:rFonts w:ascii="Times New Roman" w:eastAsia="Calibri" w:hAnsi="Times New Roman" w:cs="Times New Roman"/>
          <w:sz w:val="28"/>
          <w:szCs w:val="28"/>
        </w:rPr>
        <w:t>Об</w:t>
      </w:r>
      <w:r w:rsidR="00875582">
        <w:rPr>
          <w:rFonts w:ascii="Times New Roman" w:eastAsia="Calibri" w:hAnsi="Times New Roman" w:cs="Times New Roman"/>
          <w:sz w:val="28"/>
          <w:szCs w:val="28"/>
        </w:rPr>
        <w:t> </w:t>
      </w:r>
      <w:r w:rsidRPr="00630EAE">
        <w:rPr>
          <w:rFonts w:ascii="Times New Roman" w:eastAsia="Calibri" w:hAnsi="Times New Roman" w:cs="Times New Roman"/>
          <w:sz w:val="28"/>
          <w:szCs w:val="28"/>
        </w:rPr>
        <w:t>общих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240C70">
        <w:rPr>
          <w:rFonts w:ascii="Times New Roman" w:hAnsi="Times New Roman" w:cs="Times New Roman"/>
          <w:sz w:val="28"/>
          <w:szCs w:val="28"/>
        </w:rPr>
        <w:t>»</w:t>
      </w:r>
      <w:r w:rsidRPr="00630EAE">
        <w:rPr>
          <w:rFonts w:ascii="Times New Roman" w:eastAsia="Calibri" w:hAnsi="Times New Roman" w:cs="Times New Roman"/>
          <w:sz w:val="28"/>
          <w:szCs w:val="28"/>
        </w:rPr>
        <w:t>,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от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24.05.2005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№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42,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целях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актов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с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края,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911664" w:rsidRPr="00630EAE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EA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11664" w:rsidRPr="000B19AD" w:rsidRDefault="000B19AD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влении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0CE">
        <w:rPr>
          <w:rFonts w:ascii="Times New Roman" w:eastAsia="Calibri" w:hAnsi="Times New Roman" w:cs="Times New Roman"/>
          <w:sz w:val="28"/>
        </w:rPr>
        <w:t>от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7810CE">
        <w:rPr>
          <w:rFonts w:ascii="Times New Roman" w:eastAsia="Calibri" w:hAnsi="Times New Roman" w:cs="Times New Roman"/>
          <w:sz w:val="28"/>
        </w:rPr>
        <w:t>05.09.2016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7810CE">
        <w:rPr>
          <w:rFonts w:ascii="Times New Roman" w:eastAsia="Calibri" w:hAnsi="Times New Roman" w:cs="Times New Roman"/>
          <w:sz w:val="28"/>
        </w:rPr>
        <w:t>№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7810CE">
        <w:rPr>
          <w:rFonts w:ascii="Times New Roman" w:eastAsia="Calibri" w:hAnsi="Times New Roman" w:cs="Times New Roman"/>
          <w:sz w:val="28"/>
        </w:rPr>
        <w:t>559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733219" w:rsidRPr="00733219">
        <w:rPr>
          <w:rFonts w:ascii="Times New Roman" w:hAnsi="Times New Roman" w:cs="Times New Roman"/>
          <w:sz w:val="28"/>
          <w:szCs w:val="28"/>
        </w:rPr>
        <w:t>«Об</w:t>
      </w:r>
      <w:r w:rsidR="00875582">
        <w:rPr>
          <w:rFonts w:ascii="Times New Roman" w:hAnsi="Times New Roman" w:cs="Times New Roman"/>
          <w:sz w:val="28"/>
          <w:szCs w:val="28"/>
        </w:rPr>
        <w:t> </w:t>
      </w:r>
      <w:r w:rsidR="00733219" w:rsidRPr="00733219">
        <w:rPr>
          <w:rFonts w:ascii="Times New Roman" w:hAnsi="Times New Roman" w:cs="Times New Roman"/>
          <w:sz w:val="28"/>
          <w:szCs w:val="28"/>
        </w:rPr>
        <w:t>утверждении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733219" w:rsidRPr="00733219">
        <w:rPr>
          <w:rFonts w:ascii="Times New Roman" w:hAnsi="Times New Roman" w:cs="Times New Roman"/>
          <w:sz w:val="28"/>
          <w:szCs w:val="28"/>
        </w:rPr>
        <w:t>муниципальной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733219" w:rsidRPr="00733219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 w:rsidRPr="00240C70">
        <w:rPr>
          <w:rFonts w:ascii="Times New Roman" w:hAnsi="Times New Roman" w:cs="Times New Roman"/>
          <w:sz w:val="28"/>
          <w:szCs w:val="28"/>
        </w:rPr>
        <w:t>«</w:t>
      </w:r>
      <w:r w:rsidR="00911664" w:rsidRPr="007810CE">
        <w:rPr>
          <w:rFonts w:ascii="Times New Roman" w:eastAsia="Calibri" w:hAnsi="Times New Roman" w:cs="Times New Roman"/>
          <w:sz w:val="28"/>
        </w:rPr>
        <w:t>Развитие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физической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культуры,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спорта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молодежной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политики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Верхнебуреинском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муниципальном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районе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на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2017-202</w:t>
      </w:r>
      <w:r>
        <w:rPr>
          <w:rFonts w:ascii="Times New Roman" w:eastAsia="Calibri" w:hAnsi="Times New Roman" w:cs="Times New Roman"/>
          <w:sz w:val="28"/>
        </w:rPr>
        <w:t>5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11664" w:rsidRPr="007810CE">
        <w:rPr>
          <w:rFonts w:ascii="Times New Roman" w:eastAsia="Calibri" w:hAnsi="Times New Roman" w:cs="Times New Roman"/>
          <w:sz w:val="28"/>
        </w:rPr>
        <w:t>годы</w:t>
      </w:r>
      <w:r w:rsidR="00911664" w:rsidRPr="00240C70">
        <w:rPr>
          <w:rFonts w:ascii="Times New Roman" w:hAnsi="Times New Roman" w:cs="Times New Roman"/>
          <w:sz w:val="28"/>
          <w:szCs w:val="28"/>
        </w:rPr>
        <w:t>»</w:t>
      </w:r>
      <w:r w:rsidR="00911664" w:rsidRPr="007810CE">
        <w:rPr>
          <w:rFonts w:ascii="Times New Roman" w:eastAsia="Calibri" w:hAnsi="Times New Roman" w:cs="Times New Roman"/>
          <w:sz w:val="28"/>
        </w:rPr>
        <w:t>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слова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«на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2017-2025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годы»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заменить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словами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«Хабаровского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края».</w:t>
      </w:r>
    </w:p>
    <w:p w:rsidR="000B19AD" w:rsidRPr="008C66D1" w:rsidRDefault="000B19AD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Внести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муниципальную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программу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«Развитие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физической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культуры,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спорта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молодежной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политики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Верхнебуреинском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муниципальном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районе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на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2017-2025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годы»</w:t>
      </w:r>
      <w:r>
        <w:rPr>
          <w:rFonts w:ascii="Times New Roman" w:eastAsia="Calibri" w:hAnsi="Times New Roman" w:cs="Times New Roman"/>
          <w:sz w:val="28"/>
        </w:rPr>
        <w:t>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утвержденную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постановлением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администрации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района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края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от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05.09.2016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№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Pr="000B19AD">
        <w:rPr>
          <w:rFonts w:ascii="Times New Roman" w:eastAsia="Calibri" w:hAnsi="Times New Roman" w:cs="Times New Roman"/>
          <w:sz w:val="28"/>
        </w:rPr>
        <w:t>559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(далее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–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Программа)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следующие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изменения:</w:t>
      </w:r>
    </w:p>
    <w:p w:rsidR="008C66D1" w:rsidRDefault="008C66D1" w:rsidP="008C66D1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2.1.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наименовании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программы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слова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«на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2017-2025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годы»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заменить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словами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«Хабаровского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края».</w:t>
      </w:r>
    </w:p>
    <w:p w:rsidR="00EE4165" w:rsidRDefault="008C66D1" w:rsidP="008C66D1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2.2.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Программу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«Развитие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физической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культуры,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спорта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молодежной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политики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Верхнебуреинском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муниципальном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75582" w:rsidRPr="000B19AD">
        <w:rPr>
          <w:rFonts w:ascii="Times New Roman" w:eastAsia="Calibri" w:hAnsi="Times New Roman" w:cs="Times New Roman"/>
          <w:sz w:val="28"/>
        </w:rPr>
        <w:t>районе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932225">
        <w:rPr>
          <w:rFonts w:ascii="Times New Roman" w:eastAsia="Calibri" w:hAnsi="Times New Roman" w:cs="Times New Roman"/>
          <w:sz w:val="28"/>
        </w:rPr>
        <w:t>Хабаровского края»</w:t>
      </w:r>
    </w:p>
    <w:p w:rsidR="00EE4165" w:rsidRDefault="00EE4165" w:rsidP="008C66D1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8C66D1" w:rsidRDefault="00932225" w:rsidP="00EE4165">
      <w:pPr>
        <w:pStyle w:val="ad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изложить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в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новой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редакции,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согласно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приложению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к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настоящему</w:t>
      </w:r>
      <w:r w:rsidR="00875582">
        <w:rPr>
          <w:rFonts w:ascii="Times New Roman" w:eastAsia="Calibri" w:hAnsi="Times New Roman" w:cs="Times New Roman"/>
          <w:sz w:val="28"/>
        </w:rPr>
        <w:t xml:space="preserve"> </w:t>
      </w:r>
      <w:r w:rsidR="008C66D1">
        <w:rPr>
          <w:rFonts w:ascii="Times New Roman" w:eastAsia="Calibri" w:hAnsi="Times New Roman" w:cs="Times New Roman"/>
          <w:sz w:val="28"/>
        </w:rPr>
        <w:t>постановлению.</w:t>
      </w:r>
    </w:p>
    <w:p w:rsidR="00911664" w:rsidRPr="0085022E" w:rsidRDefault="00911664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0EAE">
        <w:rPr>
          <w:rFonts w:ascii="Times New Roman" w:hAnsi="Times New Roman" w:cs="Times New Roman"/>
          <w:sz w:val="28"/>
          <w:szCs w:val="28"/>
        </w:rPr>
        <w:t>Контроль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ис</w:t>
      </w:r>
      <w:r w:rsidRPr="00630EAE">
        <w:rPr>
          <w:rFonts w:ascii="Times New Roman" w:hAnsi="Times New Roman" w:cs="Times New Roman"/>
          <w:sz w:val="28"/>
          <w:szCs w:val="28"/>
        </w:rPr>
        <w:t>полнением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настоящего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630EAE">
        <w:rPr>
          <w:rFonts w:ascii="Times New Roman" w:hAnsi="Times New Roman" w:cs="Times New Roman"/>
          <w:sz w:val="28"/>
          <w:szCs w:val="28"/>
        </w:rPr>
        <w:t>постановления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возложить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управляющего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делами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75582" w:rsidRPr="00630EAE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82" w:rsidRPr="00630E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82" w:rsidRPr="00630EA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82" w:rsidRPr="00630EAE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582" w:rsidRPr="00630EAE">
        <w:rPr>
          <w:rFonts w:ascii="Times New Roman" w:eastAsia="Calibri" w:hAnsi="Times New Roman" w:cs="Times New Roman"/>
          <w:sz w:val="28"/>
          <w:szCs w:val="28"/>
        </w:rPr>
        <w:t>края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Феофанову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И.В</w:t>
      </w:r>
      <w:r w:rsidRPr="00630EAE">
        <w:rPr>
          <w:rFonts w:ascii="Times New Roman" w:hAnsi="Times New Roman" w:cs="Times New Roman"/>
          <w:sz w:val="28"/>
          <w:szCs w:val="28"/>
        </w:rPr>
        <w:t>.</w:t>
      </w:r>
    </w:p>
    <w:p w:rsidR="00911664" w:rsidRPr="0085022E" w:rsidRDefault="00911664" w:rsidP="00911664">
      <w:pPr>
        <w:pStyle w:val="ad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22E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постановление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вступает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силу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A63CB">
        <w:rPr>
          <w:rFonts w:ascii="Times New Roman" w:hAnsi="Times New Roman" w:cs="Times New Roman"/>
          <w:sz w:val="28"/>
          <w:szCs w:val="28"/>
        </w:rPr>
        <w:t>после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официального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опубликования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85022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11664" w:rsidRDefault="00911664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Pr="00630EAE" w:rsidRDefault="000B185A" w:rsidP="0091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64" w:rsidRDefault="000B185A" w:rsidP="000B185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</w:p>
    <w:p w:rsidR="000B185A" w:rsidRDefault="000B185A" w:rsidP="000B185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8C6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85A" w:rsidRDefault="000B185A" w:rsidP="00EE41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11664" w:rsidRDefault="00911664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1664" w:rsidRDefault="000B185A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11664">
        <w:rPr>
          <w:rFonts w:ascii="Times New Roman" w:hAnsi="Times New Roman" w:cs="Times New Roman"/>
          <w:sz w:val="28"/>
          <w:szCs w:val="28"/>
        </w:rPr>
        <w:t>остановлению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11664">
        <w:rPr>
          <w:rFonts w:ascii="Times New Roman" w:hAnsi="Times New Roman" w:cs="Times New Roman"/>
          <w:sz w:val="28"/>
          <w:szCs w:val="28"/>
        </w:rPr>
        <w:t>края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664" w:rsidRDefault="000E203F" w:rsidP="000E2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02.04.2024 № 182</w:t>
      </w:r>
    </w:p>
    <w:p w:rsidR="00911664" w:rsidRDefault="00911664" w:rsidP="0053348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11664" w:rsidRDefault="00911664" w:rsidP="0053348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4649A" w:rsidRPr="00240C70" w:rsidRDefault="0004649A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«УТВЕРЖДЕНА</w:t>
      </w:r>
    </w:p>
    <w:p w:rsidR="0004649A" w:rsidRPr="00240C70" w:rsidRDefault="0004649A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4649A" w:rsidRPr="00240C70" w:rsidRDefault="0004649A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0B185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04649A" w:rsidRPr="00240C70" w:rsidRDefault="0004649A" w:rsidP="000B185A">
      <w:pPr>
        <w:widowControl w:val="0"/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05.09.2016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559</w:t>
      </w:r>
    </w:p>
    <w:p w:rsidR="0004649A" w:rsidRPr="00240C70" w:rsidRDefault="0004649A" w:rsidP="00533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49A" w:rsidRPr="00240C70" w:rsidRDefault="0004649A" w:rsidP="00533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649A" w:rsidRPr="00240C70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МУНИЦИПАЛЬНАЯ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ПРОГРАММА</w:t>
      </w:r>
    </w:p>
    <w:p w:rsidR="0004649A" w:rsidRPr="00240C70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«Развитие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</w:p>
    <w:p w:rsidR="0004649A" w:rsidRPr="00240C70" w:rsidRDefault="0004649A" w:rsidP="0053348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C66D1">
        <w:rPr>
          <w:rFonts w:ascii="Times New Roman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C66D1">
        <w:rPr>
          <w:rFonts w:ascii="Times New Roman" w:hAnsi="Times New Roman" w:cs="Times New Roman"/>
          <w:sz w:val="28"/>
          <w:szCs w:val="28"/>
        </w:rPr>
        <w:t>края</w:t>
      </w:r>
      <w:r w:rsidRPr="00240C70">
        <w:rPr>
          <w:rFonts w:ascii="Times New Roman" w:hAnsi="Times New Roman" w:cs="Times New Roman"/>
          <w:sz w:val="28"/>
          <w:szCs w:val="28"/>
        </w:rPr>
        <w:t>»</w:t>
      </w: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ПАСПОРТ</w:t>
      </w: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муниципальной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«Развитие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C66D1">
        <w:rPr>
          <w:rFonts w:ascii="Times New Roman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C66D1">
        <w:rPr>
          <w:rFonts w:ascii="Times New Roman" w:hAnsi="Times New Roman" w:cs="Times New Roman"/>
          <w:sz w:val="28"/>
          <w:szCs w:val="28"/>
        </w:rPr>
        <w:t>края</w:t>
      </w:r>
      <w:r w:rsidRPr="00240C70">
        <w:rPr>
          <w:rFonts w:ascii="Times New Roman" w:hAnsi="Times New Roman" w:cs="Times New Roman"/>
          <w:sz w:val="28"/>
          <w:szCs w:val="28"/>
        </w:rPr>
        <w:t>»</w:t>
      </w:r>
    </w:p>
    <w:p w:rsidR="00E23370" w:rsidRPr="00240C70" w:rsidRDefault="00E23370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6967"/>
      </w:tblGrid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8C66D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D1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D1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046938" w:rsidP="00E01B71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5D9D" w:rsidRPr="00240C70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9D" w:rsidRPr="00240C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9D" w:rsidRPr="00240C70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туризму,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C" w:rsidRPr="00240C70">
              <w:rPr>
                <w:rFonts w:ascii="Times New Roman" w:hAnsi="Times New Roman" w:cs="Times New Roman"/>
                <w:sz w:val="28"/>
                <w:szCs w:val="28"/>
              </w:rPr>
              <w:t>район)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71E4" w:rsidRPr="00240C7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240C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240C70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1E4" w:rsidRPr="00240C70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E01B71" w:rsidRPr="00240C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A13F59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938" w:rsidRPr="00240C70">
              <w:rPr>
                <w:rFonts w:ascii="Times New Roman" w:hAnsi="Times New Roman"/>
                <w:sz w:val="28"/>
                <w:szCs w:val="28"/>
              </w:rPr>
              <w:t>У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образования)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3F59" w:rsidRPr="00240C70" w:rsidRDefault="00A13F5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938" w:rsidRPr="00240C70">
              <w:rPr>
                <w:rFonts w:ascii="Times New Roman" w:hAnsi="Times New Roman"/>
                <w:sz w:val="28"/>
                <w:szCs w:val="28"/>
              </w:rPr>
              <w:t>О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тдел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989"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культуры)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6989" w:rsidRPr="00240C70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учета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бухучета),</w:t>
            </w:r>
          </w:p>
          <w:p w:rsidR="00D06989" w:rsidRPr="00240C70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управление),</w:t>
            </w:r>
          </w:p>
          <w:p w:rsidR="00D06989" w:rsidRPr="00240C70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Верхнебуреинская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районная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благотворительная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общественная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инициатив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«Инициатива»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ВРБОО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Инициатива»),</w:t>
            </w:r>
          </w:p>
          <w:p w:rsidR="00046938" w:rsidRPr="00240C70" w:rsidRDefault="00046938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Краевое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«Центр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Верхнебуреинскому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району»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КГКУ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F59" w:rsidRPr="00240C70">
              <w:rPr>
                <w:rFonts w:ascii="Times New Roman" w:hAnsi="Times New Roman"/>
                <w:sz w:val="28"/>
                <w:szCs w:val="28"/>
              </w:rPr>
              <w:t>ЦСПН)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240C70" w:rsidRDefault="00046938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К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раевое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«Чегдомынский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горно-технологический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техникум»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lastRenderedPageBreak/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КГБПОУ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ЧГТТ)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6989" w:rsidRPr="00240C70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спорта),</w:t>
            </w:r>
          </w:p>
          <w:p w:rsidR="00D06989" w:rsidRPr="00240C70" w:rsidRDefault="00D06989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строительства)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662D96" w:rsidRPr="00240C70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условий,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обеспечивающих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гражданам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заниматься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301AD3" w:rsidRPr="00240C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2D96" w:rsidRPr="00240C70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результативности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выступлений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краевых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 w:rsidR="00301AD3" w:rsidRPr="00240C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348D" w:rsidRPr="00240C70" w:rsidRDefault="00662D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успешной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эффективной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самореализации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молодежи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вовлечения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регулярным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5F6964" w:rsidRPr="00240C70" w:rsidRDefault="005F6964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спортивного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резерва;</w:t>
            </w:r>
          </w:p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сферы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спорта;</w:t>
            </w:r>
          </w:p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молодежной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политики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967" w:type="dxa"/>
          </w:tcPr>
          <w:p w:rsidR="0053348D" w:rsidRPr="00240C70" w:rsidRDefault="003C19E5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не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48D" w:rsidRPr="00240C70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регулярным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переподготовки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перспективной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районе;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адаптивной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адаптивного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резерва,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детско-юношеского,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студенческого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добровольчество,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гражданственности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духовных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ценностей;</w:t>
            </w:r>
          </w:p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8.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занятости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20"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занимающегося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«Плавательный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Чегдомын»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(человек);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удельный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D74155"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155"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штатными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залами,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плоскостными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55"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55" w:rsidRPr="00240C70">
              <w:rPr>
                <w:rFonts w:ascii="Times New Roman" w:hAnsi="Times New Roman" w:cs="Times New Roman"/>
                <w:sz w:val="28"/>
                <w:szCs w:val="28"/>
              </w:rPr>
              <w:t>сооружениями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бассейнами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20"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добровольческую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(процентов);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патриотических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клубов,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принимающих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студенческих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отрядов,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A80C1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осуществляться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этап: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2017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202</w:t>
            </w:r>
            <w:r w:rsidR="00A80C13">
              <w:rPr>
                <w:rFonts w:ascii="Times New Roman" w:hAnsi="Times New Roman"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Hlk128739098"/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875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6967" w:type="dxa"/>
          </w:tcPr>
          <w:p w:rsidR="0053348D" w:rsidRPr="00240C70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Общий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объем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финансирования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Программы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721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144,085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числе: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субсидии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из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краевого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,0</w:t>
            </w:r>
            <w:r w:rsidR="001E34F6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00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C63C8E" w:rsidRPr="00240C70" w:rsidRDefault="00C63C8E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63C8E"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63C8E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63C8E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63C8E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63C8E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из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районного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681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050,237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160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605,673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174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195,458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920,845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4842A2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700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4842A2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93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B71566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>
              <w:rPr>
                <w:rFonts w:ascii="Times New Roman" w:hAnsi="Times New Roman"/>
                <w:bCs/>
                <w:iCs/>
                <w:sz w:val="28"/>
                <w:szCs w:val="28"/>
              </w:rPr>
              <w:t>285</w:t>
            </w:r>
            <w:r w:rsidR="00D048E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>
              <w:rPr>
                <w:rFonts w:ascii="Times New Roman" w:hAnsi="Times New Roman"/>
                <w:bCs/>
                <w:iCs/>
                <w:sz w:val="28"/>
                <w:szCs w:val="28"/>
              </w:rPr>
              <w:t>105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824452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048EF"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C63C8E"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  <w:r w:rsidR="00D048EF"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C63C8E"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101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824452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58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165,040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824452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48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030,076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24452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FC10A3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57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518,500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A80C13" w:rsidRPr="00A80C13" w:rsidRDefault="00A80C13" w:rsidP="00A80C13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2026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57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C10A3" w:rsidRP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518</w:t>
            </w:r>
            <w:r w:rsidR="00FC10A3">
              <w:rPr>
                <w:rFonts w:ascii="Times New Roman" w:hAnsi="Times New Roman"/>
                <w:bCs/>
                <w:iCs/>
                <w:sz w:val="28"/>
                <w:szCs w:val="28"/>
              </w:rPr>
              <w:t>,500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80C13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80C13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районного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бюджета,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источником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финансового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обеспечения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которых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являются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краевого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федерального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бюджет</w:t>
            </w:r>
            <w:r w:rsidR="00C5595F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ов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02D9A">
              <w:rPr>
                <w:rFonts w:ascii="Times New Roman" w:hAnsi="Times New Roman"/>
                <w:bCs/>
                <w:iCs/>
                <w:sz w:val="28"/>
                <w:szCs w:val="28"/>
              </w:rPr>
              <w:t>328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02D9A">
              <w:rPr>
                <w:rFonts w:ascii="Times New Roman" w:hAnsi="Times New Roman"/>
                <w:bCs/>
                <w:iCs/>
                <w:sz w:val="28"/>
                <w:szCs w:val="28"/>
              </w:rPr>
              <w:t>769,414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148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153,066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158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331,128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100,000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535,560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71566">
              <w:rPr>
                <w:rFonts w:ascii="Times New Roman" w:hAnsi="Times New Roman"/>
                <w:bCs/>
                <w:iCs/>
                <w:sz w:val="28"/>
                <w:szCs w:val="28"/>
              </w:rPr>
              <w:t>695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B71566">
              <w:rPr>
                <w:rFonts w:ascii="Times New Roman" w:hAnsi="Times New Roman"/>
                <w:bCs/>
                <w:iCs/>
                <w:sz w:val="28"/>
                <w:szCs w:val="28"/>
              </w:rPr>
              <w:t>230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02D9A">
              <w:rPr>
                <w:rFonts w:ascii="Times New Roman" w:hAnsi="Times New Roman"/>
                <w:bCs/>
                <w:iCs/>
                <w:sz w:val="28"/>
                <w:szCs w:val="28"/>
              </w:rPr>
              <w:t>647,750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E34F6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2458D6" w:rsidRPr="00240C70" w:rsidRDefault="002458D6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76,670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58D6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рублей;</w:t>
            </w:r>
          </w:p>
          <w:p w:rsidR="0053348D" w:rsidRPr="00240C70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внебюджетные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093,848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годам: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2017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2018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2019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021,454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072,394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2021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732A9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240C70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2022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D7CC2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AD634C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6D7CC2"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D96D46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2023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D96D46" w:rsidRDefault="0053348D" w:rsidP="0053348D">
            <w:pPr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2024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96D46"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000,000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рублей,</w:t>
            </w:r>
          </w:p>
          <w:p w:rsidR="0053348D" w:rsidRPr="00D96D46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2025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000,000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рублей</w:t>
            </w:r>
            <w:r w:rsidR="00EC7BBD" w:rsidRPr="00D96D46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EC7BBD" w:rsidRPr="00240C70" w:rsidRDefault="00EC7BBD" w:rsidP="00EC7BB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6D46"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000,000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D4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</w:tc>
      </w:tr>
      <w:bookmarkEnd w:id="0"/>
      <w:tr w:rsidR="00240C70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за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967" w:type="dxa"/>
          </w:tcPr>
          <w:p w:rsidR="0053348D" w:rsidRPr="00240C70" w:rsidRDefault="00890B96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Налоговые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расходы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="008755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bCs/>
                <w:sz w:val="28"/>
                <w:szCs w:val="28"/>
              </w:rPr>
              <w:t>предусмотрены</w:t>
            </w:r>
          </w:p>
        </w:tc>
      </w:tr>
      <w:tr w:rsidR="0053348D" w:rsidRPr="00240C70" w:rsidTr="0053348D">
        <w:tc>
          <w:tcPr>
            <w:tcW w:w="2376" w:type="dxa"/>
          </w:tcPr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67" w:type="dxa"/>
          </w:tcPr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занимающегося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«Готов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обороне»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(ГТО),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сдаче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нормативов,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посещений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«Плавательный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Чегдомын»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лет),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учреждениях,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спортом,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штатными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залами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процента;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плоскостными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сооружениями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бассейнами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вовлеченной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социальную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377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добровольческую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733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53348D" w:rsidRPr="00240C70" w:rsidRDefault="0053348D" w:rsidP="0053348D">
            <w:pPr>
              <w:pStyle w:val="ConsPlusCell"/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действующих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патриотических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объединений,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клубов,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377" w:rsidRPr="00240C70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5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53348D" w:rsidRPr="00240C70" w:rsidRDefault="0053348D" w:rsidP="0053348D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40C70">
              <w:rPr>
                <w:rFonts w:ascii="Times New Roman" w:hAnsi="Times New Roman"/>
                <w:sz w:val="28"/>
                <w:szCs w:val="28"/>
              </w:rPr>
              <w:t>-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молодых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людей,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принимающих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студенческих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отрядов,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в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до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26,</w:t>
            </w:r>
            <w:r w:rsidR="00733219">
              <w:rPr>
                <w:rFonts w:ascii="Times New Roman" w:hAnsi="Times New Roman"/>
                <w:sz w:val="28"/>
                <w:szCs w:val="28"/>
              </w:rPr>
              <w:t>5</w:t>
            </w:r>
            <w:r w:rsidR="00875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0C70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</w:tr>
    </w:tbl>
    <w:p w:rsidR="000B185A" w:rsidRDefault="00CA4D7A" w:rsidP="000B185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 w:rsidR="000B185A" w:rsidRDefault="000B185A" w:rsidP="000B185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5A" w:rsidRDefault="009A52BC" w:rsidP="000B185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2BC" w:rsidRPr="00240C70" w:rsidRDefault="009A52BC" w:rsidP="000B185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в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районе,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9A52BC" w:rsidRPr="00240C70" w:rsidRDefault="009A52BC" w:rsidP="0053348D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Приоритетом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политики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края,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определенным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Стратегией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экономического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развития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Хабаровского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края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период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20</w:t>
      </w:r>
      <w:r w:rsidR="006B21D4" w:rsidRPr="00240C70">
        <w:rPr>
          <w:sz w:val="28"/>
          <w:szCs w:val="28"/>
        </w:rPr>
        <w:t>30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года,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является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формирование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условий,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обеспечивающих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привлекательность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территории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края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для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проживания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населения,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привлечения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новых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жителей,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закрепления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проживающего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прибывающего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населения.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Проводимый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сегодняшний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день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экономический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курс,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устанавливающий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приоритетные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задачи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социально-экономического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развития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края,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определяет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конкретные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первоочередные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шаги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социально-культурных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сферах,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том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числе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сфере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физической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культуры,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спорта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политики.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По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каждому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из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направлений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сферы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физической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культуры,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спорта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политики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края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происходят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устойчивые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изменения,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складывающиеся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целостную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положительную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динамику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развития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системы.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настоящее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время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спорт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обретает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все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более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динамичный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характер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полноценного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института.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Он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активно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внедряется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систему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образования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воспитания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подрастающего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поколения,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используется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как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средство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отдыха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оздоровления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различных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групп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населения,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реабилитации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инвалидов,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повышает</w:t>
      </w:r>
      <w:r w:rsidR="00875582">
        <w:rPr>
          <w:sz w:val="28"/>
          <w:szCs w:val="28"/>
        </w:rPr>
        <w:t xml:space="preserve"> </w:t>
      </w:r>
      <w:proofErr w:type="spellStart"/>
      <w:r w:rsidRPr="00240C70">
        <w:rPr>
          <w:sz w:val="28"/>
          <w:szCs w:val="28"/>
        </w:rPr>
        <w:t>стрессоустойчивость</w:t>
      </w:r>
      <w:proofErr w:type="spellEnd"/>
      <w:r w:rsidRPr="00240C70">
        <w:rPr>
          <w:sz w:val="28"/>
          <w:szCs w:val="28"/>
        </w:rPr>
        <w:t>.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Систематические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занятия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физической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культурой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спортом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только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способствуют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укреплению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здоровья,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выполняют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такие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важные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социальные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функции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как: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укрепление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нравственности,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адаптация,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снижение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напряженности,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профилактика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правонарушений,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борьба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наркоманией,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отвлечение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подростков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от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улицы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вредных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привычек,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трудовая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занятость.</w:t>
      </w: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70">
        <w:rPr>
          <w:rFonts w:ascii="Times New Roman" w:hAnsi="Times New Roman" w:cs="Times New Roman"/>
          <w:sz w:val="28"/>
          <w:szCs w:val="28"/>
        </w:rPr>
        <w:t>Динамика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увеличения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носит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положительный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характер,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однако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дальнейшего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показателя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необходимы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консолидированные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усилия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необходимой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базы.</w:t>
      </w:r>
      <w:proofErr w:type="gramEnd"/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</w:t>
      </w:r>
      <w:r w:rsidR="000B185A">
        <w:rPr>
          <w:rFonts w:ascii="Times New Roman" w:hAnsi="Times New Roman" w:cs="Times New Roman"/>
          <w:sz w:val="28"/>
          <w:szCs w:val="28"/>
        </w:rPr>
        <w:t> </w:t>
      </w:r>
      <w:r w:rsidRPr="00240C70">
        <w:rPr>
          <w:rFonts w:ascii="Times New Roman" w:hAnsi="Times New Roman" w:cs="Times New Roman"/>
          <w:sz w:val="28"/>
          <w:szCs w:val="28"/>
        </w:rPr>
        <w:t>учреждения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дополнительного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них: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C10A3">
        <w:rPr>
          <w:rFonts w:ascii="Times New Roman" w:hAnsi="Times New Roman" w:cs="Times New Roman"/>
          <w:sz w:val="28"/>
          <w:szCs w:val="28"/>
        </w:rPr>
        <w:t>спортивная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школа;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2–внешкольных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центра.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Общая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отрасли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</w:t>
      </w:r>
      <w:r w:rsidR="00FC10A3">
        <w:rPr>
          <w:rFonts w:ascii="Times New Roman" w:hAnsi="Times New Roman" w:cs="Times New Roman"/>
          <w:sz w:val="28"/>
          <w:szCs w:val="28"/>
        </w:rPr>
        <w:t>23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составила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C10A3">
        <w:rPr>
          <w:rFonts w:ascii="Times New Roman" w:hAnsi="Times New Roman" w:cs="Times New Roman"/>
          <w:sz w:val="28"/>
          <w:szCs w:val="28"/>
        </w:rPr>
        <w:t>7</w:t>
      </w:r>
      <w:r w:rsidR="00C503ED" w:rsidRPr="00240C70">
        <w:rPr>
          <w:rFonts w:ascii="Times New Roman" w:hAnsi="Times New Roman" w:cs="Times New Roman"/>
          <w:sz w:val="28"/>
          <w:szCs w:val="28"/>
        </w:rPr>
        <w:t>2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человек</w:t>
      </w:r>
      <w:r w:rsidR="00C503ED" w:rsidRPr="00240C70">
        <w:rPr>
          <w:rFonts w:ascii="Times New Roman" w:hAnsi="Times New Roman" w:cs="Times New Roman"/>
          <w:sz w:val="28"/>
          <w:szCs w:val="28"/>
        </w:rPr>
        <w:t>а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6</w:t>
      </w:r>
      <w:r w:rsidR="00C503ED" w:rsidRPr="00240C70">
        <w:rPr>
          <w:rFonts w:ascii="Times New Roman" w:hAnsi="Times New Roman" w:cs="Times New Roman"/>
          <w:sz w:val="28"/>
          <w:szCs w:val="28"/>
        </w:rPr>
        <w:t>2</w:t>
      </w:r>
      <w:r w:rsidRPr="00240C70">
        <w:rPr>
          <w:rFonts w:ascii="Times New Roman" w:hAnsi="Times New Roman" w:cs="Times New Roman"/>
          <w:sz w:val="28"/>
          <w:szCs w:val="28"/>
        </w:rPr>
        <w:t>,</w:t>
      </w:r>
      <w:r w:rsidR="00C503ED" w:rsidRPr="00240C70">
        <w:rPr>
          <w:rFonts w:ascii="Times New Roman" w:hAnsi="Times New Roman" w:cs="Times New Roman"/>
          <w:sz w:val="28"/>
          <w:szCs w:val="28"/>
        </w:rPr>
        <w:t>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процента.</w:t>
      </w: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составляет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FC10A3">
        <w:rPr>
          <w:rFonts w:ascii="Times New Roman" w:hAnsi="Times New Roman" w:cs="Times New Roman"/>
          <w:sz w:val="28"/>
          <w:szCs w:val="28"/>
        </w:rPr>
        <w:t>18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преобразований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снизилось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среднего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Район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сегодня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испытывает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дефицит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выпускники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учебных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заведений,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специалистов,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специальности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из-за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низкого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заработной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платы,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ощущается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специалистов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детьми,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имеющими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отклонения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здоровья.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Президента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  <w:r w:rsidR="000B18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.03.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2014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172</w:t>
        </w:r>
      </w:hyperlink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поэтапному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внедрению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территории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Российской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Федерации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интереса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значительное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площадей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простейших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плоскостных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отвечающих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требованиям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оснащению.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Построенный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2008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востребован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возрастов.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Всего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территории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находится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71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типа,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</w:t>
      </w:r>
      <w:r w:rsidR="00FC10A3">
        <w:rPr>
          <w:rFonts w:ascii="Times New Roman" w:hAnsi="Times New Roman" w:cs="Times New Roman"/>
          <w:sz w:val="28"/>
          <w:szCs w:val="28"/>
        </w:rPr>
        <w:t>7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являются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плоскостными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сооружениями,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FC10A3">
        <w:rPr>
          <w:rFonts w:ascii="Times New Roman" w:hAnsi="Times New Roman" w:cs="Times New Roman"/>
          <w:sz w:val="28"/>
          <w:szCs w:val="28"/>
        </w:rPr>
        <w:t>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залов,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стрелковых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видов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</w:t>
      </w:r>
      <w:r w:rsidR="003D4283">
        <w:rPr>
          <w:rFonts w:ascii="Times New Roman" w:hAnsi="Times New Roman" w:cs="Times New Roman"/>
          <w:sz w:val="28"/>
          <w:szCs w:val="28"/>
        </w:rPr>
        <w:t>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другие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нестандартными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размерами,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большая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часть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расположена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Так,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</w:t>
      </w:r>
      <w:r w:rsidR="003D4283">
        <w:rPr>
          <w:rFonts w:ascii="Times New Roman" w:hAnsi="Times New Roman" w:cs="Times New Roman"/>
          <w:sz w:val="28"/>
          <w:szCs w:val="28"/>
        </w:rPr>
        <w:t>23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составил</w:t>
      </w:r>
      <w:r w:rsidR="00C503ED" w:rsidRPr="00240C70">
        <w:rPr>
          <w:rFonts w:ascii="Times New Roman" w:hAnsi="Times New Roman" w:cs="Times New Roman"/>
          <w:sz w:val="28"/>
          <w:szCs w:val="28"/>
        </w:rPr>
        <w:t>а</w:t>
      </w:r>
      <w:r w:rsidRPr="00240C70">
        <w:rPr>
          <w:rFonts w:ascii="Times New Roman" w:hAnsi="Times New Roman" w:cs="Times New Roman"/>
          <w:sz w:val="28"/>
          <w:szCs w:val="28"/>
        </w:rPr>
        <w:t>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залами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3D4283">
        <w:rPr>
          <w:rFonts w:ascii="Times New Roman" w:hAnsi="Times New Roman" w:cs="Times New Roman"/>
          <w:sz w:val="28"/>
          <w:szCs w:val="28"/>
        </w:rPr>
        <w:t>55,5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процента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плоскостными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100,0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бассейнами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47,9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время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вопрос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материальной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одним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ключевых.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площадки,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оснащение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доступность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построения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целостной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популяризации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пропаганды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ведется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постоянная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информированию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проводимых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мероприятиях,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выступлений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спортсменов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соревнованиях.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размещается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«Интернет»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официальном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сайте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Несмотря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высокий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уровень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задействован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весь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имеющийся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Необходимо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разрабатывать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методики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массовой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привлекательные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многом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использован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жительства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Необходимо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широкого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движения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инициировать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любительских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Наиболее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организационной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массового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значимости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клуб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жительства,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способен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выступить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организатором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дальнейшего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остается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недостаточным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особенно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сельской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FD1" w:rsidRPr="00240C70">
        <w:rPr>
          <w:rFonts w:ascii="Times New Roman" w:hAnsi="Times New Roman" w:cs="Times New Roman"/>
          <w:sz w:val="28"/>
          <w:szCs w:val="28"/>
        </w:rPr>
        <w:t>местности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несмотря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то,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наблюдается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устойчивая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тенденция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Сегодня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достигнута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максимальная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загрузка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одним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факторов,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сдерживающих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дальнейшее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отрасли.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ощутим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сооружениях: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стрельбищах,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легкоатлетических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манежах,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велотреках,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лыжных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базах</w:t>
      </w:r>
      <w:r w:rsidR="003D4283">
        <w:rPr>
          <w:rFonts w:ascii="Times New Roman" w:hAnsi="Times New Roman" w:cs="Times New Roman"/>
          <w:sz w:val="28"/>
          <w:szCs w:val="28"/>
        </w:rPr>
        <w:t>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комплекс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искусственным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>
        <w:rPr>
          <w:rFonts w:ascii="Times New Roman" w:hAnsi="Times New Roman" w:cs="Times New Roman"/>
          <w:sz w:val="28"/>
          <w:szCs w:val="28"/>
        </w:rPr>
        <w:t>льдом.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Состояние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существующей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соответствует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требованиям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позволяет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проводить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официальные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соревнования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межрегиональном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уровне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Необходимо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перейти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технологической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основанной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использовании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новейших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достижений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области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тренировки,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педагогики,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психологии,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медицины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Приоритетные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задачи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требуют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идеи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интеграции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социально-экономические,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отношения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увеличения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вклада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региона.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83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соответствии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данными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органа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Федеральной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службы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статистики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Хабаровскому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краю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состоянию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01</w:t>
      </w:r>
      <w:r w:rsidR="00C00500">
        <w:rPr>
          <w:rFonts w:ascii="Times New Roman" w:hAnsi="Times New Roman" w:cs="Times New Roman"/>
          <w:sz w:val="28"/>
          <w:szCs w:val="28"/>
        </w:rPr>
        <w:t> </w:t>
      </w:r>
      <w:r w:rsidRPr="003D4283">
        <w:rPr>
          <w:rFonts w:ascii="Times New Roman" w:hAnsi="Times New Roman" w:cs="Times New Roman"/>
          <w:sz w:val="28"/>
          <w:szCs w:val="28"/>
        </w:rPr>
        <w:t>января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20</w:t>
      </w:r>
      <w:r w:rsidR="003D4283" w:rsidRPr="003D4283">
        <w:rPr>
          <w:rFonts w:ascii="Times New Roman" w:hAnsi="Times New Roman" w:cs="Times New Roman"/>
          <w:sz w:val="28"/>
          <w:szCs w:val="28"/>
        </w:rPr>
        <w:t>23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года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составила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D4283" w:rsidRPr="003D4283">
        <w:rPr>
          <w:rFonts w:ascii="Times New Roman" w:hAnsi="Times New Roman" w:cs="Times New Roman"/>
          <w:sz w:val="28"/>
          <w:szCs w:val="28"/>
        </w:rPr>
        <w:t>6756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человек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или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2</w:t>
      </w:r>
      <w:r w:rsidR="003D4283" w:rsidRPr="003D4283">
        <w:rPr>
          <w:rFonts w:ascii="Times New Roman" w:hAnsi="Times New Roman" w:cs="Times New Roman"/>
          <w:sz w:val="28"/>
          <w:szCs w:val="28"/>
        </w:rPr>
        <w:t>7,2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процент</w:t>
      </w:r>
      <w:r w:rsidR="003D4283" w:rsidRPr="003D4283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всего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3D4283">
        <w:rPr>
          <w:rFonts w:ascii="Times New Roman" w:hAnsi="Times New Roman" w:cs="Times New Roman"/>
          <w:sz w:val="28"/>
          <w:szCs w:val="28"/>
        </w:rPr>
        <w:t>района.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Молодежь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66FD1" w:rsidRPr="00240C70">
        <w:rPr>
          <w:rFonts w:ascii="Times New Roman" w:hAnsi="Times New Roman" w:cs="Times New Roman"/>
          <w:sz w:val="28"/>
          <w:szCs w:val="28"/>
        </w:rPr>
        <w:t>это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наиболее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динамично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развивающаяся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настроя,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духовного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благополучия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зависит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успех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проводимых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преобразований,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целом.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Именно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быстрее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приспосабливаются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обладает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широким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потенциалом: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мобильностью,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инициативностью,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восприимчивостью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инновационным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изменениям,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технологиям,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способностью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противодействовать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вызовам.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Вместе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время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существуют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сдерживают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её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приводят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репродуктивного,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Ключевыми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проблемами,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положение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являются: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несоответствие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установок,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моделей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потребностям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низкий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уровень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интереса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Современный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период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России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сопровождается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процессом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являются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институтом,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обеспечивающим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самореализацию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становление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ответственности,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моделей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поведения.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этапе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усиление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внимания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определению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средств,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методов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поколением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среднесрочную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долгосрочную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Социологические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исследования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показывают,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оценка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отношения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следовательно,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властных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структур,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действующих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лица,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по-прежнему,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достаточно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низкая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(чуть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опрошенной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молодежи).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Хотя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прослеживается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незначительная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устойчивая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положительная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динамика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изменения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оценок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Результаты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анализа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показывают,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старше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становится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человек,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переход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разряда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«организованной»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(17-летней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правило,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учащейся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меньшей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степени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ощущает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себе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влияние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предположить,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большинство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«выпадает»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зоны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влияния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следствие,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недостаточно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владеет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проектах,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ощущает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sz w:val="28"/>
          <w:szCs w:val="28"/>
        </w:rPr>
        <w:t>тех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240C70">
        <w:rPr>
          <w:rFonts w:ascii="Times New Roman" w:hAnsi="Times New Roman" w:cs="Times New Roman"/>
          <w:sz w:val="28"/>
          <w:szCs w:val="28"/>
        </w:rPr>
        <w:t>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позволяют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этапах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своего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2014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реализовывалась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семейной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утвержденной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постановлением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19.11.2013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№</w:t>
      </w:r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1161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период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отмечены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изменения.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Увеличилось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общественных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организаций.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Возросла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участвующих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(конкурсах,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фестивалях,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олимпиадах)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творческой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14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30.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время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сотрудники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дополнительного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Среди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других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выделить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турниры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соревнования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видам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«уличного»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творчества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</w:t>
      </w:r>
      <w:r w:rsidRPr="00240C70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240C70">
        <w:rPr>
          <w:rFonts w:ascii="Times New Roman" w:hAnsi="Times New Roman" w:cs="Times New Roman"/>
          <w:sz w:val="28"/>
          <w:szCs w:val="28"/>
        </w:rPr>
        <w:t>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соревнования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дворовых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команд,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пляжный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волейбол,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футбол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др.)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Приоритетным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патриотическое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9D1A62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комплексной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работы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патриотическому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воспитанию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органами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работе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молодежью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осуществляется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координация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военно-патриотических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объединений.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время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территории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действует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2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патриотических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объединени</w:t>
      </w:r>
      <w:r w:rsidR="00A41C0E" w:rsidRPr="009D1A62">
        <w:rPr>
          <w:rFonts w:ascii="Times New Roman" w:hAnsi="Times New Roman" w:cs="Times New Roman"/>
          <w:sz w:val="28"/>
          <w:szCs w:val="28"/>
        </w:rPr>
        <w:t>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7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кадетских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классов</w:t>
      </w:r>
      <w:r w:rsidR="009D1A62" w:rsidRPr="009D1A62">
        <w:rPr>
          <w:rFonts w:ascii="Times New Roman" w:hAnsi="Times New Roman" w:cs="Times New Roman"/>
          <w:sz w:val="28"/>
          <w:szCs w:val="28"/>
        </w:rPr>
        <w:t>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2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церемониальных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1A62" w:rsidRPr="009D1A62">
        <w:rPr>
          <w:rFonts w:ascii="Times New Roman" w:hAnsi="Times New Roman" w:cs="Times New Roman"/>
          <w:sz w:val="28"/>
          <w:szCs w:val="28"/>
        </w:rPr>
        <w:t>отряда</w:t>
      </w:r>
      <w:r w:rsidR="00A41C0E" w:rsidRPr="009D1A62">
        <w:rPr>
          <w:rFonts w:ascii="Times New Roman" w:hAnsi="Times New Roman" w:cs="Times New Roman"/>
          <w:sz w:val="28"/>
          <w:szCs w:val="28"/>
        </w:rPr>
        <w:t>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военно-патриотически</w:t>
      </w:r>
      <w:r w:rsidR="00A41C0E" w:rsidRPr="009D1A62">
        <w:rPr>
          <w:rFonts w:ascii="Times New Roman" w:hAnsi="Times New Roman" w:cs="Times New Roman"/>
          <w:sz w:val="28"/>
          <w:szCs w:val="28"/>
        </w:rPr>
        <w:t>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объединения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1A62">
        <w:rPr>
          <w:rFonts w:ascii="Times New Roman" w:hAnsi="Times New Roman" w:cs="Times New Roman"/>
          <w:sz w:val="28"/>
          <w:szCs w:val="28"/>
        </w:rPr>
        <w:t>Росич</w:t>
      </w:r>
      <w:proofErr w:type="spellEnd"/>
      <w:r w:rsidRPr="009D1A62">
        <w:rPr>
          <w:rFonts w:ascii="Times New Roman" w:hAnsi="Times New Roman" w:cs="Times New Roman"/>
          <w:sz w:val="28"/>
          <w:szCs w:val="28"/>
        </w:rPr>
        <w:t>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1A62" w:rsidRPr="009D1A62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«Стремительный»</w:t>
      </w:r>
      <w:r w:rsidRPr="009D1A62">
        <w:rPr>
          <w:rFonts w:ascii="Times New Roman" w:hAnsi="Times New Roman" w:cs="Times New Roman"/>
          <w:sz w:val="28"/>
          <w:szCs w:val="28"/>
        </w:rPr>
        <w:t>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церемониальный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отряд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«Звезда»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9D1A62">
        <w:rPr>
          <w:rFonts w:ascii="Times New Roman" w:hAnsi="Times New Roman" w:cs="Times New Roman"/>
          <w:sz w:val="28"/>
          <w:szCs w:val="28"/>
        </w:rPr>
        <w:t>«Исток</w:t>
      </w:r>
      <w:r w:rsidR="009D1A62" w:rsidRPr="009D1A62">
        <w:rPr>
          <w:rFonts w:ascii="Times New Roman" w:hAnsi="Times New Roman" w:cs="Times New Roman"/>
          <w:sz w:val="28"/>
          <w:szCs w:val="28"/>
        </w:rPr>
        <w:t>».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Определяющим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элементом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частью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поддержка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движения,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инициативы,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резерва.</w:t>
      </w:r>
    </w:p>
    <w:p w:rsidR="009A52BC" w:rsidRPr="009D1A62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поддержки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талантливой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представители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ежегодно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участвуют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Дальневосточном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фестивале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«Студенческая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весна»,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объединил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себе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конкурс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научных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исследований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восьми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направлениям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пять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творческих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конкурсов.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9D1A62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2">
        <w:rPr>
          <w:rFonts w:ascii="Times New Roman" w:hAnsi="Times New Roman" w:cs="Times New Roman"/>
          <w:sz w:val="28"/>
          <w:szCs w:val="28"/>
        </w:rPr>
        <w:t>Одним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движений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КВН-движение.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Всего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1A62" w:rsidRPr="009D1A62">
        <w:rPr>
          <w:rFonts w:ascii="Times New Roman" w:hAnsi="Times New Roman" w:cs="Times New Roman"/>
          <w:sz w:val="28"/>
          <w:szCs w:val="28"/>
        </w:rPr>
        <w:t>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школьных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команды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численностью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около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50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62">
        <w:rPr>
          <w:rFonts w:ascii="Times New Roman" w:hAnsi="Times New Roman" w:cs="Times New Roman"/>
          <w:sz w:val="28"/>
          <w:szCs w:val="28"/>
        </w:rPr>
        <w:t>Вовлечение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9D1A62">
        <w:rPr>
          <w:rFonts w:ascii="Times New Roman" w:hAnsi="Times New Roman" w:cs="Times New Roman"/>
          <w:sz w:val="28"/>
          <w:szCs w:val="28"/>
        </w:rPr>
        <w:t>трудовую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позволяет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людям,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проходя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важный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этап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социализации,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включаться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экономику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получать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первичный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опыт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взаимодействия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работодателем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удовлетворение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потребностей.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Коллективные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летней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трудовые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отряды,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позволяют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находясь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своих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сверстников,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чувствовать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себя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комфортно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коллективе,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вероятность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наступления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других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рисков.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находящейся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ситуации,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постоянной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проводится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ряд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физкультурно-массовых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привлечением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группы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</w:t>
      </w:r>
      <w:r w:rsidR="004F6545">
        <w:rPr>
          <w:rFonts w:ascii="Times New Roman" w:hAnsi="Times New Roman" w:cs="Times New Roman"/>
          <w:sz w:val="28"/>
          <w:szCs w:val="28"/>
        </w:rPr>
        <w:t>23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проведено: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F6545">
        <w:rPr>
          <w:rFonts w:ascii="Times New Roman" w:hAnsi="Times New Roman" w:cs="Times New Roman"/>
          <w:sz w:val="28"/>
          <w:szCs w:val="28"/>
        </w:rPr>
        <w:t>78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4F6545">
        <w:rPr>
          <w:rFonts w:ascii="Times New Roman" w:hAnsi="Times New Roman" w:cs="Times New Roman"/>
          <w:sz w:val="28"/>
          <w:szCs w:val="28"/>
        </w:rPr>
        <w:lastRenderedPageBreak/>
        <w:t>2000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человек.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Ежегодно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дополнительного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проводят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привлечению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семей,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неблагополучных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семей,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семей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«группы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риска»,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подростков,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учете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комиссиях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делам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Зачисление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тренировки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проводятся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бесплатно.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Одним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способов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борьбы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правонарушениями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альтернативных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самореализации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виде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добровольчества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территории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организованы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включающие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себя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отрядах,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добровольческую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Асоциальные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проявления,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экстремистской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представляют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серьезную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угрозу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стабильности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безопасности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страны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целом.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Профилактика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негативных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настроений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посредством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взаимодействия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структурных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подразделений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молодежью.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Сегодня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рассматривается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качестве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полноправного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субъекта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партнера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властей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выработке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ориентирована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максимальное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включение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практику,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сообществом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собственных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полноценного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Вместе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время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существует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который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сдерживает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приводит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репродуктивного,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Одной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существенных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абсолютной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структуре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негативными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демографическими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процессами.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Учитывая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факт,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тенденция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актуальна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России,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угроза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стоит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особенно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остро.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Ухудшается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здоровья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поколения,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двигательная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активность,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сокращается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употребляющих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алкогольные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напитки.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Каждый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второй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подросток,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состоящий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учете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подразделениях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делам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посещает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кружки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секции.</w:t>
      </w:r>
      <w:r w:rsidRPr="00240C70">
        <w:rPr>
          <w:rFonts w:ascii="Times New Roman" w:hAnsi="Times New Roman" w:cs="Times New Roman"/>
          <w:sz w:val="28"/>
          <w:szCs w:val="28"/>
        </w:rPr>
        <w:br/>
        <w:t>Значительная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часть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успешно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адаптироваться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ситуации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свои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устремления.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вызывает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опасение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тенденция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«потери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человеческого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капитала»,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полностью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используют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имеющийся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потенциал,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итоге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может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замедлению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значительной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части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отсутствуют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стремление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навыки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существует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недостаточной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сферы.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еще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хватает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структур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подростками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жительства,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подростково-молодежные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клубы,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центры.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многие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действующих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должного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оснащения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заметно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работы.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Кроме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того,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одной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острых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современной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несмотря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пользование,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ресурсами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«Интернет»,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включая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форумы,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порталы,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остается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вакуум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отсутствие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четких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механизмов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подрастающее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поколение,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обмена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качественным,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развивающим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направлений: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постоянное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услугах,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предоставляемых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учреждениями,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делам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технологий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привлечением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сайтов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делам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Вместе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оставаться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нерешенными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некоторые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проблемы: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1)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слабая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межотраслевая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координация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сфере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политики;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2)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не</w:t>
      </w:r>
      <w:r w:rsidR="00C00500">
        <w:rPr>
          <w:sz w:val="28"/>
          <w:szCs w:val="28"/>
        </w:rPr>
        <w:t xml:space="preserve"> </w:t>
      </w:r>
      <w:proofErr w:type="spellStart"/>
      <w:r w:rsidRPr="00240C70">
        <w:rPr>
          <w:sz w:val="28"/>
          <w:szCs w:val="28"/>
        </w:rPr>
        <w:t>сформированность</w:t>
      </w:r>
      <w:proofErr w:type="spellEnd"/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эффективной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системы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выявления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сопровождения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талантливой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активной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молодежи;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3)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невысокий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уровень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гражданской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активности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роли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общественно-политических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процессах;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4)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ограниченность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инфраструктуры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государственных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муниципальных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учреждений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социальных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служб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для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направлений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деятельности,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адекватно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отвечающих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потребностям,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интересам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проблемам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молодежи;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5)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завершен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поиск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эффективных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форм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организации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добровольческого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(волонтерского),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движения,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остается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значительным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разрыв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между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потребностями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волонтерском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труде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количеством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добровольцев;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6)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наблюдается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направленность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мероприятий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политики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людей,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обучающихся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учебных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заведениях,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отсутствие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системной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работы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работающей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молодежью.</w:t>
      </w:r>
    </w:p>
    <w:p w:rsidR="009A52BC" w:rsidRPr="00240C70" w:rsidRDefault="009A52BC" w:rsidP="005334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этой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связи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возникла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реальная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необходимость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применении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качественно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новых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подходов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к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решению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проблем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совершенствованию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системы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мер,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направленных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на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создание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условий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lastRenderedPageBreak/>
        <w:t>возможностей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для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успешной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социализации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эффективной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самореализации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молодежи,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для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развития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ее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потенциала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в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интересах</w:t>
      </w:r>
      <w:r w:rsidR="00875582">
        <w:rPr>
          <w:sz w:val="28"/>
          <w:szCs w:val="28"/>
        </w:rPr>
        <w:t xml:space="preserve"> </w:t>
      </w:r>
      <w:r w:rsidRPr="00240C70">
        <w:rPr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C0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2.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Цели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задачи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стратегической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определены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приоритетные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модернизация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групп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регионального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интереса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путем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пропаганды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(разработка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пропаганде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важнейшей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составляющей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жизни);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мировоззрения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способствующей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качественной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её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максимальной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молодёжи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Государственная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территории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перспективе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будет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принципов: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концентрации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усилий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приоритетным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безусловного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заказа;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доступности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услуг,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оказываемых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открытого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независимости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оценки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разработке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принятии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решений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доступности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инструментам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механизмам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молодёжной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87558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использования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ресурсов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интересах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взаимодействия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ведом</w:t>
      </w:r>
      <w:proofErr w:type="gramStart"/>
      <w:r w:rsidRPr="00240C70">
        <w:rPr>
          <w:rFonts w:ascii="Times New Roman" w:hAnsi="Times New Roman" w:cs="Times New Roman"/>
          <w:sz w:val="28"/>
          <w:szCs w:val="28"/>
        </w:rPr>
        <w:t>ств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учета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интересов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потребностей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групп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разработке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приоритетных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направлений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политики.</w:t>
      </w:r>
    </w:p>
    <w:p w:rsidR="005F6964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Цел</w:t>
      </w:r>
      <w:r w:rsidR="005F6964" w:rsidRPr="00240C70">
        <w:rPr>
          <w:rFonts w:ascii="Times New Roman" w:hAnsi="Times New Roman" w:cs="Times New Roman"/>
          <w:sz w:val="28"/>
          <w:szCs w:val="28"/>
        </w:rPr>
        <w:t>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</w:t>
      </w:r>
      <w:r w:rsidR="005F6964" w:rsidRPr="00240C70">
        <w:rPr>
          <w:rFonts w:ascii="Times New Roman" w:hAnsi="Times New Roman" w:cs="Times New Roman"/>
          <w:sz w:val="28"/>
          <w:szCs w:val="28"/>
        </w:rPr>
        <w:t>ю</w:t>
      </w:r>
      <w:r w:rsidRPr="00240C70">
        <w:rPr>
          <w:rFonts w:ascii="Times New Roman" w:hAnsi="Times New Roman" w:cs="Times New Roman"/>
          <w:sz w:val="28"/>
          <w:szCs w:val="28"/>
        </w:rPr>
        <w:t>тся</w:t>
      </w:r>
      <w:r w:rsidR="005F6964" w:rsidRPr="00240C70">
        <w:rPr>
          <w:rFonts w:ascii="Times New Roman" w:hAnsi="Times New Roman" w:cs="Times New Roman"/>
          <w:sz w:val="28"/>
          <w:szCs w:val="28"/>
        </w:rPr>
        <w:t>:</w:t>
      </w:r>
    </w:p>
    <w:p w:rsidR="005F6964" w:rsidRPr="00240C70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условий,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обеспечивающих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возможность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гражданам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заниматься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64" w:rsidRPr="00240C70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выступлений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спортсменов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краевых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региональных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соревнованиях,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5F6964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успешной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социализации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эффективной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самореализации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детей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Достижение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предполагает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ряда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задач: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C00500">
        <w:rPr>
          <w:rFonts w:ascii="Times New Roman" w:hAnsi="Times New Roman" w:cs="Times New Roman"/>
          <w:sz w:val="28"/>
          <w:szCs w:val="28"/>
        </w:rPr>
        <w:t>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групп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регулярным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2</w:t>
      </w:r>
      <w:r w:rsidR="00C00500">
        <w:rPr>
          <w:rFonts w:ascii="Times New Roman" w:hAnsi="Times New Roman" w:cs="Times New Roman"/>
          <w:sz w:val="28"/>
          <w:szCs w:val="28"/>
        </w:rPr>
        <w:t>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резерва.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3</w:t>
      </w:r>
      <w:r w:rsidR="00C00500">
        <w:rPr>
          <w:rFonts w:ascii="Times New Roman" w:hAnsi="Times New Roman" w:cs="Times New Roman"/>
          <w:sz w:val="28"/>
          <w:szCs w:val="28"/>
        </w:rPr>
        <w:t>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4</w:t>
      </w:r>
      <w:r w:rsidR="00C00500">
        <w:rPr>
          <w:rFonts w:ascii="Times New Roman" w:hAnsi="Times New Roman" w:cs="Times New Roman"/>
          <w:sz w:val="28"/>
          <w:szCs w:val="28"/>
        </w:rPr>
        <w:t>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Достижение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задач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будут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путем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скоординированного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взаимоувязанных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срокам,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ресурсам,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исполнителям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поставленных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задач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путем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ориентированных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будет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способствовать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наиболее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рациональному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достижению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потенциала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последующего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включения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процессы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общественно-политического,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500" w:rsidRDefault="009A52BC" w:rsidP="00C0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3.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Ожидаемые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2BC" w:rsidRPr="00240C70" w:rsidRDefault="009A52BC" w:rsidP="00C0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(индикаторов)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Основными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ожидаемыми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должны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вклада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202</w:t>
      </w:r>
      <w:r w:rsidR="00EC7BBD">
        <w:rPr>
          <w:rFonts w:ascii="Times New Roman" w:hAnsi="Times New Roman" w:cs="Times New Roman"/>
          <w:sz w:val="28"/>
          <w:szCs w:val="28"/>
        </w:rPr>
        <w:t>6</w:t>
      </w:r>
      <w:r w:rsidRPr="00240C70">
        <w:rPr>
          <w:rFonts w:ascii="Times New Roman" w:hAnsi="Times New Roman" w:cs="Times New Roman"/>
          <w:sz w:val="28"/>
          <w:szCs w:val="28"/>
        </w:rPr>
        <w:t>году: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44,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2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43,0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73,0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посещений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«Плавательный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бассейн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Чегдомын»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50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год;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штатных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(6-15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лет),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учреждениях,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6-15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90,0</w:t>
      </w:r>
      <w:r w:rsidR="00592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студентов,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штатными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66,0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залами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56,0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процента;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плоскостными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сооружениями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592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бассейнами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47,9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вовлеченной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добровольческую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2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патриотических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клубов,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единиц;</w:t>
      </w:r>
    </w:p>
    <w:p w:rsidR="009D5692" w:rsidRPr="00240C70" w:rsidRDefault="00C00500" w:rsidP="00C0050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принимающих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студенческих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отрядов,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26,</w:t>
      </w:r>
      <w:r w:rsidR="005A0D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87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9A" w:rsidRPr="00240C70" w:rsidRDefault="0004649A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приведут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составной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части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показателях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(индикаторах)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приведены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Приложении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Программе.</w:t>
      </w:r>
    </w:p>
    <w:p w:rsidR="0004649A" w:rsidRPr="00240C70" w:rsidRDefault="0004649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62" w:rsidRDefault="009D5692" w:rsidP="0059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3.1.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сбора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692" w:rsidRPr="00240C70" w:rsidRDefault="009D5692" w:rsidP="00592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расчета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(индикаторов)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представлены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методика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сбора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расчета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(индикаторов)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Удельный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</w:p>
    <w:p w:rsidR="009D5692" w:rsidRPr="00240C70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70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=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Pr="00240C70">
        <w:rPr>
          <w:rFonts w:ascii="Times New Roman" w:hAnsi="Times New Roman" w:cs="Times New Roman"/>
          <w:sz w:val="28"/>
          <w:szCs w:val="28"/>
        </w:rPr>
        <w:t>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Pr="00240C70">
        <w:rPr>
          <w:rFonts w:ascii="Times New Roman" w:hAnsi="Times New Roman" w:cs="Times New Roman"/>
          <w:sz w:val="28"/>
          <w:szCs w:val="28"/>
        </w:rPr>
        <w:t>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100,</w:t>
      </w:r>
    </w:p>
    <w:p w:rsidR="009D5692" w:rsidRPr="00240C70" w:rsidRDefault="009D5692" w:rsidP="008D4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где:</w:t>
      </w:r>
    </w:p>
    <w:p w:rsidR="009D5692" w:rsidRPr="00240C70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70">
        <w:rPr>
          <w:rFonts w:ascii="Times New Roman" w:hAnsi="Times New Roman" w:cs="Times New Roman"/>
          <w:sz w:val="28"/>
          <w:szCs w:val="28"/>
        </w:rPr>
        <w:lastRenderedPageBreak/>
        <w:t>Дз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удельный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вес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D487C" w:rsidRPr="00240C70">
        <w:rPr>
          <w:rFonts w:ascii="Times New Roman" w:hAnsi="Times New Roman" w:cs="Times New Roman"/>
          <w:sz w:val="28"/>
          <w:szCs w:val="28"/>
        </w:rPr>
        <w:t>района</w:t>
      </w:r>
      <w:r w:rsidRPr="00240C70">
        <w:rPr>
          <w:rFonts w:ascii="Times New Roman" w:hAnsi="Times New Roman" w:cs="Times New Roman"/>
          <w:sz w:val="28"/>
          <w:szCs w:val="28"/>
        </w:rPr>
        <w:t>;</w:t>
      </w:r>
    </w:p>
    <w:p w:rsidR="009D5692" w:rsidRPr="00240C70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</w:t>
      </w:r>
      <w:r w:rsidR="008D487C" w:rsidRPr="00240C70">
        <w:rPr>
          <w:rFonts w:ascii="Times New Roman" w:hAnsi="Times New Roman" w:cs="Times New Roman"/>
          <w:sz w:val="28"/>
          <w:szCs w:val="28"/>
        </w:rPr>
        <w:t>-</w:t>
      </w:r>
      <w:r w:rsidRPr="00240C70">
        <w:rPr>
          <w:rFonts w:ascii="Times New Roman" w:hAnsi="Times New Roman" w:cs="Times New Roman"/>
          <w:sz w:val="28"/>
          <w:szCs w:val="28"/>
        </w:rPr>
        <w:t>79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занимающегося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соответствии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федерального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статистического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наблюдения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спорте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(сумма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значений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граф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5,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6,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7,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8,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строки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II);</w:t>
      </w:r>
    </w:p>
    <w:p w:rsidR="009D5692" w:rsidRPr="00240C70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городского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округа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</w:t>
      </w:r>
      <w:r w:rsidR="008D487C" w:rsidRPr="00240C70">
        <w:rPr>
          <w:rFonts w:ascii="Times New Roman" w:hAnsi="Times New Roman" w:cs="Times New Roman"/>
          <w:sz w:val="28"/>
          <w:szCs w:val="28"/>
        </w:rPr>
        <w:t>-</w:t>
      </w:r>
      <w:r w:rsidRPr="00240C70">
        <w:rPr>
          <w:rFonts w:ascii="Times New Roman" w:hAnsi="Times New Roman" w:cs="Times New Roman"/>
          <w:sz w:val="28"/>
          <w:szCs w:val="28"/>
        </w:rPr>
        <w:t>79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состоянию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января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отчетного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(человек).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87C" w:rsidRPr="00240C70">
        <w:rPr>
          <w:rFonts w:ascii="Times New Roman" w:hAnsi="Times New Roman" w:cs="Times New Roman"/>
          <w:sz w:val="28"/>
          <w:szCs w:val="28"/>
        </w:rPr>
        <w:t>Хабаровскстат</w:t>
      </w:r>
      <w:proofErr w:type="spellEnd"/>
      <w:r w:rsidRPr="00240C70">
        <w:rPr>
          <w:rFonts w:ascii="Times New Roman" w:hAnsi="Times New Roman" w:cs="Times New Roman"/>
          <w:sz w:val="28"/>
          <w:szCs w:val="28"/>
        </w:rPr>
        <w:t>;</w:t>
      </w:r>
    </w:p>
    <w:p w:rsidR="009D5692" w:rsidRPr="00240C70" w:rsidRDefault="009D5692" w:rsidP="009D5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C70">
        <w:rPr>
          <w:rFonts w:ascii="Times New Roman" w:hAnsi="Times New Roman" w:cs="Times New Roman"/>
          <w:sz w:val="28"/>
          <w:szCs w:val="28"/>
        </w:rPr>
        <w:t>Чнп</w:t>
      </w:r>
      <w:proofErr w:type="spell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</w:t>
      </w:r>
      <w:r w:rsidR="008D487C" w:rsidRPr="00240C70">
        <w:rPr>
          <w:rFonts w:ascii="Times New Roman" w:hAnsi="Times New Roman" w:cs="Times New Roman"/>
          <w:sz w:val="28"/>
          <w:szCs w:val="28"/>
        </w:rPr>
        <w:t>-7</w:t>
      </w:r>
      <w:r w:rsidRPr="00240C70">
        <w:rPr>
          <w:rFonts w:ascii="Times New Roman" w:hAnsi="Times New Roman" w:cs="Times New Roman"/>
          <w:sz w:val="28"/>
          <w:szCs w:val="28"/>
        </w:rPr>
        <w:t>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ограничения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согласно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статистического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наблюдения,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отчетный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(человек).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2.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занимающегося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240C70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9D5692" w:rsidRPr="00240C70">
        <w:rPr>
          <w:rFonts w:ascii="Times New Roman" w:hAnsi="Times New Roman" w:cs="Times New Roman"/>
          <w:sz w:val="28"/>
          <w:szCs w:val="28"/>
        </w:rPr>
        <w:t>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1-ФК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="009D5692" w:rsidRPr="00240C70">
        <w:rPr>
          <w:rFonts w:ascii="Times New Roman" w:hAnsi="Times New Roman" w:cs="Times New Roman"/>
          <w:sz w:val="28"/>
          <w:szCs w:val="28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культуре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спорте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(сумма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значений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граф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5,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6,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7,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8,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9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раздела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II)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3.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нормативов</w:t>
      </w:r>
    </w:p>
    <w:p w:rsidR="008D487C" w:rsidRPr="00240C70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Отношение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умноженное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100.</w:t>
      </w:r>
    </w:p>
    <w:p w:rsidR="009D5692" w:rsidRPr="00240C70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статистическое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наблюдение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2-ГТО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«Сведения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ОБОРОНЕ»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4.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нормативов</w:t>
      </w:r>
    </w:p>
    <w:p w:rsidR="009D5692" w:rsidRPr="00240C70" w:rsidRDefault="008D487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выполнивших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равна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сумм</w:t>
      </w:r>
      <w:r w:rsidRPr="00240C70">
        <w:rPr>
          <w:rFonts w:ascii="Times New Roman" w:hAnsi="Times New Roman" w:cs="Times New Roman"/>
          <w:sz w:val="28"/>
          <w:szCs w:val="28"/>
        </w:rPr>
        <w:t>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(44,49,58,64,69)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статистического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наблюдения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2-ГТО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«Сведения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населения,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принявшего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сдаче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нормативов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5.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посещений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бюджетного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«Плавательный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бассейн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Чегдомын»</w:t>
      </w:r>
    </w:p>
    <w:p w:rsidR="009D5692" w:rsidRPr="00240C70" w:rsidRDefault="00E54FF3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электронная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проходная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«Барс»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</w:t>
      </w:r>
      <w:r w:rsidRPr="00240C70">
        <w:rPr>
          <w:rFonts w:ascii="Times New Roman" w:hAnsi="Times New Roman" w:cs="Times New Roman"/>
          <w:sz w:val="28"/>
          <w:szCs w:val="28"/>
        </w:rPr>
        <w:t>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посещаемости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Н2О)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1-ФК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="009D5692" w:rsidRPr="00240C70">
        <w:rPr>
          <w:rFonts w:ascii="Times New Roman" w:hAnsi="Times New Roman" w:cs="Times New Roman"/>
          <w:sz w:val="28"/>
          <w:szCs w:val="28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культуре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спорте"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7.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лиц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ограниченными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здоровья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инвалидов,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категории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лиц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ограниченными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здоровья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инвалидов,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равна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</w:t>
      </w:r>
      <w:r w:rsidR="009D5692" w:rsidRPr="00240C70">
        <w:rPr>
          <w:rFonts w:ascii="Times New Roman" w:hAnsi="Times New Roman" w:cs="Times New Roman"/>
          <w:sz w:val="28"/>
          <w:szCs w:val="28"/>
        </w:rPr>
        <w:t>исленност</w:t>
      </w:r>
      <w:r w:rsidRPr="00240C70">
        <w:rPr>
          <w:rFonts w:ascii="Times New Roman" w:hAnsi="Times New Roman" w:cs="Times New Roman"/>
          <w:sz w:val="28"/>
          <w:szCs w:val="28"/>
        </w:rPr>
        <w:t>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адаптивной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(согласно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3-АФК,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</w:t>
      </w:r>
      <w:r w:rsidRPr="00240C70">
        <w:rPr>
          <w:rFonts w:ascii="Times New Roman" w:hAnsi="Times New Roman" w:cs="Times New Roman"/>
          <w:sz w:val="28"/>
          <w:szCs w:val="28"/>
        </w:rPr>
        <w:t>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столбец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9</w:t>
      </w:r>
      <w:r w:rsidRPr="00240C70">
        <w:rPr>
          <w:rFonts w:ascii="Times New Roman" w:hAnsi="Times New Roman" w:cs="Times New Roman"/>
          <w:sz w:val="28"/>
          <w:szCs w:val="28"/>
        </w:rPr>
        <w:t>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категории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8.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Удельный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(6-15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6-15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Удельный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(6-15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равен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16,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столбец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5)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возрасте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6-15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января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текущего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года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9.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равна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сводным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</w:t>
      </w:r>
      <w:r w:rsidR="003132CB" w:rsidRPr="00240C70">
        <w:rPr>
          <w:rFonts w:ascii="Times New Roman" w:hAnsi="Times New Roman" w:cs="Times New Roman"/>
          <w:sz w:val="28"/>
          <w:szCs w:val="28"/>
        </w:rPr>
        <w:t>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обучающихся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районе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10.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Уровень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Уровень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штатными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работниками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равен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9D5692" w:rsidRPr="00240C70">
        <w:rPr>
          <w:rFonts w:ascii="Times New Roman" w:hAnsi="Times New Roman" w:cs="Times New Roman"/>
          <w:sz w:val="28"/>
          <w:szCs w:val="28"/>
        </w:rPr>
        <w:t>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1-ФК,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первичные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(утвержденное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штатное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расписание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работников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спорта)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11.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залами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Рекомендованные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(Приказ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Министерства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РФ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24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февраля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2021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рекомендованных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Pr="00240C70">
        <w:rPr>
          <w:rFonts w:ascii="Times New Roman" w:hAnsi="Times New Roman" w:cs="Times New Roman"/>
          <w:sz w:val="28"/>
          <w:szCs w:val="28"/>
        </w:rPr>
        <w:t>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залов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(Сводные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43)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12.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плоскостными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сооружениями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Рекомендованные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(Приказ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Министерства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РФ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24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февраля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2021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рекомендованных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Pr="00240C70">
        <w:rPr>
          <w:rFonts w:ascii="Times New Roman" w:hAnsi="Times New Roman" w:cs="Times New Roman"/>
          <w:sz w:val="28"/>
          <w:szCs w:val="28"/>
        </w:rPr>
        <w:t>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плоскостные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(Сводные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40)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13.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бассейнами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Рекомендованные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(Приказ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Министерства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</w:t>
      </w:r>
      <w:r w:rsidR="0059286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0C70">
        <w:rPr>
          <w:rFonts w:ascii="Times New Roman" w:hAnsi="Times New Roman" w:cs="Times New Roman"/>
          <w:sz w:val="28"/>
          <w:szCs w:val="28"/>
        </w:rPr>
        <w:t>Ф</w:t>
      </w:r>
      <w:r w:rsidR="00592862">
        <w:rPr>
          <w:rFonts w:ascii="Times New Roman" w:hAnsi="Times New Roman" w:cs="Times New Roman"/>
          <w:sz w:val="28"/>
          <w:szCs w:val="28"/>
        </w:rPr>
        <w:t>едерации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24</w:t>
      </w:r>
      <w:r w:rsidR="00592862">
        <w:rPr>
          <w:rFonts w:ascii="Times New Roman" w:hAnsi="Times New Roman" w:cs="Times New Roman"/>
          <w:sz w:val="28"/>
          <w:szCs w:val="28"/>
        </w:rPr>
        <w:t>.02.</w:t>
      </w:r>
      <w:r w:rsidRPr="00240C70">
        <w:rPr>
          <w:rFonts w:ascii="Times New Roman" w:hAnsi="Times New Roman" w:cs="Times New Roman"/>
          <w:sz w:val="28"/>
          <w:szCs w:val="28"/>
        </w:rPr>
        <w:t>2021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108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1D1098" w:rsidRPr="00240C70">
        <w:rPr>
          <w:rFonts w:ascii="Times New Roman" w:hAnsi="Times New Roman" w:cs="Times New Roman"/>
          <w:sz w:val="28"/>
          <w:szCs w:val="28"/>
        </w:rPr>
        <w:t>«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рекомендованных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объектами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1D1098" w:rsidRPr="00240C70">
        <w:rPr>
          <w:rFonts w:ascii="Times New Roman" w:hAnsi="Times New Roman" w:cs="Times New Roman"/>
          <w:sz w:val="28"/>
          <w:szCs w:val="28"/>
        </w:rPr>
        <w:t>»</w:t>
      </w:r>
      <w:r w:rsidRPr="00240C70">
        <w:rPr>
          <w:rFonts w:ascii="Times New Roman" w:hAnsi="Times New Roman" w:cs="Times New Roman"/>
          <w:sz w:val="28"/>
          <w:szCs w:val="28"/>
        </w:rPr>
        <w:t>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</w:t>
      </w:r>
      <w:r w:rsidR="003132CB" w:rsidRPr="00240C70">
        <w:rPr>
          <w:rFonts w:ascii="Times New Roman" w:hAnsi="Times New Roman" w:cs="Times New Roman"/>
          <w:sz w:val="28"/>
          <w:szCs w:val="28"/>
        </w:rPr>
        <w:t>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бассейнов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(Сводные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1-ФК,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3,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53)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14.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9D5692" w:rsidRPr="00240C70">
        <w:rPr>
          <w:rFonts w:ascii="Times New Roman" w:hAnsi="Times New Roman" w:cs="Times New Roman"/>
          <w:sz w:val="28"/>
          <w:szCs w:val="28"/>
        </w:rPr>
        <w:t>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ГМП,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раз</w:t>
      </w:r>
      <w:r w:rsidRPr="00240C70">
        <w:rPr>
          <w:rFonts w:ascii="Times New Roman" w:hAnsi="Times New Roman" w:cs="Times New Roman"/>
          <w:sz w:val="28"/>
          <w:szCs w:val="28"/>
        </w:rPr>
        <w:t>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13)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15.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объединений,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объединений,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равно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9D5692" w:rsidRPr="00240C70">
        <w:rPr>
          <w:rFonts w:ascii="Times New Roman" w:hAnsi="Times New Roman" w:cs="Times New Roman"/>
          <w:sz w:val="28"/>
          <w:szCs w:val="28"/>
        </w:rPr>
        <w:t>водные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форме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№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ГМП,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раз</w:t>
      </w:r>
      <w:r w:rsidRPr="00240C70">
        <w:rPr>
          <w:rFonts w:ascii="Times New Roman" w:hAnsi="Times New Roman" w:cs="Times New Roman"/>
          <w:sz w:val="28"/>
          <w:szCs w:val="28"/>
        </w:rPr>
        <w:t>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строка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17)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января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текущего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года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16.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добровольческую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добровольческую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равна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</w:t>
      </w:r>
      <w:r w:rsidR="009D5692" w:rsidRPr="00240C70">
        <w:rPr>
          <w:rFonts w:ascii="Times New Roman" w:hAnsi="Times New Roman" w:cs="Times New Roman"/>
          <w:sz w:val="28"/>
          <w:szCs w:val="28"/>
        </w:rPr>
        <w:t>ервичные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сайта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9D5692" w:rsidRPr="00240C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692" w:rsidRPr="00240C70">
        <w:rPr>
          <w:rFonts w:ascii="Times New Roman" w:hAnsi="Times New Roman" w:cs="Times New Roman"/>
          <w:sz w:val="28"/>
          <w:szCs w:val="28"/>
        </w:rPr>
        <w:t>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(зарегистрированных)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численность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молодежи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14-30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лет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января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текущего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года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17.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Количество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действующих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патриотических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объединений,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клубов,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</w:p>
    <w:p w:rsidR="009D5692" w:rsidRPr="00240C70" w:rsidRDefault="003132CB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Источник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</w:t>
      </w:r>
      <w:r w:rsidR="009D5692" w:rsidRPr="00240C70">
        <w:rPr>
          <w:rFonts w:ascii="Times New Roman" w:hAnsi="Times New Roman" w:cs="Times New Roman"/>
          <w:sz w:val="28"/>
          <w:szCs w:val="28"/>
        </w:rPr>
        <w:t>ервичные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сайта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9D5692" w:rsidRPr="00240C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692" w:rsidRPr="00240C70">
        <w:rPr>
          <w:rFonts w:ascii="Times New Roman" w:hAnsi="Times New Roman" w:cs="Times New Roman"/>
          <w:sz w:val="28"/>
          <w:szCs w:val="28"/>
        </w:rPr>
        <w:t>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D5692" w:rsidRPr="00240C70">
        <w:rPr>
          <w:rFonts w:ascii="Times New Roman" w:hAnsi="Times New Roman" w:cs="Times New Roman"/>
          <w:sz w:val="28"/>
          <w:szCs w:val="28"/>
        </w:rPr>
        <w:t>(зарегистрировано)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18.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принимающих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отрядов,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C70">
        <w:rPr>
          <w:rFonts w:ascii="Times New Roman" w:hAnsi="Times New Roman" w:cs="Times New Roman"/>
          <w:sz w:val="28"/>
          <w:szCs w:val="28"/>
        </w:rPr>
        <w:t>Доля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людей,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принимающих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отрядов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3132CB" w:rsidRPr="00240C70">
        <w:rPr>
          <w:rFonts w:ascii="Times New Roman" w:hAnsi="Times New Roman" w:cs="Times New Roman"/>
          <w:sz w:val="28"/>
          <w:szCs w:val="28"/>
        </w:rPr>
        <w:t>равно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первичные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ЦНЗ)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*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100/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численнос</w:t>
      </w:r>
      <w:r w:rsidR="003132CB" w:rsidRPr="00240C70">
        <w:rPr>
          <w:rFonts w:ascii="Times New Roman" w:hAnsi="Times New Roman" w:cs="Times New Roman"/>
          <w:sz w:val="28"/>
          <w:szCs w:val="28"/>
        </w:rPr>
        <w:t>т</w:t>
      </w:r>
      <w:r w:rsidRPr="00240C70">
        <w:rPr>
          <w:rFonts w:ascii="Times New Roman" w:hAnsi="Times New Roman" w:cs="Times New Roman"/>
          <w:sz w:val="28"/>
          <w:szCs w:val="28"/>
        </w:rPr>
        <w:t>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3132CB" w:rsidRPr="00240C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92" w:rsidRPr="00240C70" w:rsidRDefault="009D569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62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4.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подпрограмм,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долгосрочных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ведомственных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целевых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предполагается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регулирования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lastRenderedPageBreak/>
        <w:t>Будет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продолжена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работа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модернизации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продолжена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основанная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единой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политике.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взрослого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лиц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ограниченными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здоровья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инвалидов,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адаптивной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концу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позиций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рейтинге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Хабаровского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лиц,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систематически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занимающихся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Это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станет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возможным,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счет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укрепления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базы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Далее,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доукомплектовать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кадрами.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Будет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развиваться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резерва,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проведены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расширению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услуг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предоставлению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различным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категориям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Получит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дальнейшее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детско-юношеский,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школьный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студенческий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инфраструктуры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массовым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образовательных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месту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жительства,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оснащение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инвентарем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оборудованием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соответствии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требованиями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нормативов,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повышение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сооружениями.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обеспечит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202</w:t>
      </w:r>
      <w:r w:rsidR="0072410F">
        <w:rPr>
          <w:rFonts w:ascii="Times New Roman" w:hAnsi="Times New Roman" w:cs="Times New Roman"/>
          <w:sz w:val="28"/>
          <w:szCs w:val="28"/>
        </w:rPr>
        <w:t>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создаст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позволяющую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оказывать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доступные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качественные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услуги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единых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требований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подходов.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поэтапное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внедрение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Всероссийского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комплекса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«Готов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труду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обороне»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(ГТО).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рамках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«развитие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следующих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мер: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поддержки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инициатив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посредством: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здорового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образа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жизни,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профилактики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употребления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психоактивных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веществ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среде,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поддержки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семьи;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кадрового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организации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профильных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смен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учащейся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обеспечения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краевых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создание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воспитания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гражданственности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патриотизма,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формирования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духовных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нравственных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ценностей;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вовлечения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граждан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практику,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добровольчество,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позитивную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общественную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продвижения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инициативной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талантливой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молодежи;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-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содействие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занятости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Состав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sz w:val="28"/>
          <w:szCs w:val="28"/>
        </w:rPr>
        <w:t>конкретизирующих</w:t>
      </w:r>
      <w:proofErr w:type="gramEnd"/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представлены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755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40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87558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Программе.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5.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Сроки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этапы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Программа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планируется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один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этап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2017-202</w:t>
      </w:r>
      <w:r w:rsidR="005A0D94">
        <w:rPr>
          <w:rFonts w:ascii="Times New Roman" w:hAnsi="Times New Roman" w:cs="Times New Roman"/>
          <w:sz w:val="28"/>
          <w:szCs w:val="28"/>
        </w:rPr>
        <w:t>6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годов.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6.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A52BC" w:rsidRPr="00240C70" w:rsidRDefault="009A52BC" w:rsidP="0059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краевым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законодательством.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–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bCs/>
          <w:sz w:val="28"/>
          <w:szCs w:val="28"/>
        </w:rPr>
        <w:t>сектор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bCs/>
          <w:sz w:val="28"/>
          <w:szCs w:val="28"/>
        </w:rPr>
        <w:t>по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bCs/>
          <w:sz w:val="28"/>
          <w:szCs w:val="28"/>
        </w:rPr>
        <w:t>спорту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bCs/>
          <w:sz w:val="28"/>
          <w:szCs w:val="28"/>
        </w:rPr>
        <w:t>туризму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района: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организует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целом,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разрабатывает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несет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ответственность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за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достижение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(индикаторов)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конечных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ее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для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отчета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ходе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об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оценке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(далее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годовой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отчет);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запрашивает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соисполнителей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для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контрольных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внесению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Программу;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интегральную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оценку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размещает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сайте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сети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Программе,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ходе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ее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достижении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значений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(индикаторов).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Соисполнители: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осуществляют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240C70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вносят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предложения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корректировки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сведения,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необходимые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для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мониторинга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сводных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отчетов;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исполнителю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информацию,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необходимую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для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оценки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годового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отчета;</w:t>
      </w:r>
    </w:p>
    <w:p w:rsidR="009A52BC" w:rsidRPr="00240C70" w:rsidRDefault="009A52BC" w:rsidP="0053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C70">
        <w:rPr>
          <w:rFonts w:ascii="Times New Roman" w:hAnsi="Times New Roman" w:cs="Times New Roman"/>
          <w:bCs/>
          <w:sz w:val="28"/>
          <w:szCs w:val="28"/>
        </w:rPr>
        <w:t>-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представляют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дополнительную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об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итогах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240C70">
          <w:rPr>
            <w:rFonts w:ascii="Times New Roman" w:hAnsi="Times New Roman" w:cs="Times New Roman"/>
            <w:bCs/>
            <w:sz w:val="28"/>
            <w:szCs w:val="28"/>
          </w:rPr>
          <w:t>мероприятий</w:t>
        </w:r>
      </w:hyperlink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по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требованию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r w:rsidR="00875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sz w:val="28"/>
          <w:szCs w:val="28"/>
        </w:rPr>
        <w:t>исполнителя.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9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7.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Ресурсное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D5C2A" w:rsidRPr="00240C70" w:rsidRDefault="005D5C2A" w:rsidP="00DC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8A6" w:rsidRPr="00240C70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Общий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объем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финансирования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Программы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721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144,085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числе: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субсидии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из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краевого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бюджета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числе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по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2019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</w:t>
      </w:r>
      <w:r w:rsidRPr="00240C70">
        <w:rPr>
          <w:rFonts w:ascii="Times New Roman" w:hAnsi="Times New Roman"/>
          <w:sz w:val="28"/>
          <w:szCs w:val="28"/>
        </w:rPr>
        <w:t>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2022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2023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5A0D94" w:rsidRPr="00240C70" w:rsidRDefault="005A0D94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A0D94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из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районного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бюджета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681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050,237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числе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по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160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605,673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174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195,458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2019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920,845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24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700,939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</w:t>
      </w:r>
      <w:r w:rsidRPr="00240C70">
        <w:rPr>
          <w:rFonts w:ascii="Times New Roman" w:hAnsi="Times New Roman"/>
          <w:sz w:val="28"/>
          <w:szCs w:val="28"/>
        </w:rPr>
        <w:t>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>
        <w:rPr>
          <w:rFonts w:ascii="Times New Roman" w:hAnsi="Times New Roman"/>
          <w:bCs/>
          <w:iCs/>
          <w:sz w:val="28"/>
          <w:szCs w:val="28"/>
        </w:rPr>
        <w:t>47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>
        <w:rPr>
          <w:rFonts w:ascii="Times New Roman" w:hAnsi="Times New Roman"/>
          <w:bCs/>
          <w:iCs/>
          <w:sz w:val="28"/>
          <w:szCs w:val="28"/>
        </w:rPr>
        <w:t>285</w:t>
      </w:r>
      <w:r w:rsidRPr="00240C70">
        <w:rPr>
          <w:rFonts w:ascii="Times New Roman" w:hAnsi="Times New Roman"/>
          <w:bCs/>
          <w:iCs/>
          <w:sz w:val="28"/>
          <w:szCs w:val="28"/>
        </w:rPr>
        <w:t>,</w:t>
      </w:r>
      <w:r w:rsidR="00B71566">
        <w:rPr>
          <w:rFonts w:ascii="Times New Roman" w:hAnsi="Times New Roman"/>
          <w:bCs/>
          <w:iCs/>
          <w:sz w:val="28"/>
          <w:szCs w:val="28"/>
        </w:rPr>
        <w:t>105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2022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36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0D94">
        <w:rPr>
          <w:rFonts w:ascii="Times New Roman" w:hAnsi="Times New Roman"/>
          <w:bCs/>
          <w:iCs/>
          <w:sz w:val="28"/>
          <w:szCs w:val="28"/>
        </w:rPr>
        <w:t>110,101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B7156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2023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58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165,040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28A6"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28A6"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48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030,076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57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518,500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5A0D94" w:rsidRPr="00240C70" w:rsidRDefault="005A0D94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A0D94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57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7BED">
        <w:rPr>
          <w:rFonts w:ascii="Times New Roman" w:hAnsi="Times New Roman"/>
          <w:bCs/>
          <w:iCs/>
          <w:sz w:val="28"/>
          <w:szCs w:val="28"/>
        </w:rPr>
        <w:t>518,500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0D94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числе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средства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районного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бюджета,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источником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финансового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обеспечения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которых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являются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средства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краевого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и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федерального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бюджет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ов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2D9A">
        <w:rPr>
          <w:rFonts w:ascii="Times New Roman" w:hAnsi="Times New Roman"/>
          <w:bCs/>
          <w:iCs/>
          <w:sz w:val="28"/>
          <w:szCs w:val="28"/>
        </w:rPr>
        <w:t>328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2D9A">
        <w:rPr>
          <w:rFonts w:ascii="Times New Roman" w:hAnsi="Times New Roman"/>
          <w:bCs/>
          <w:iCs/>
          <w:sz w:val="28"/>
          <w:szCs w:val="28"/>
        </w:rPr>
        <w:t>769,414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148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153,066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158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331,128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2019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100,000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535,560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71566">
        <w:rPr>
          <w:rFonts w:ascii="Times New Roman" w:hAnsi="Times New Roman"/>
          <w:bCs/>
          <w:iCs/>
          <w:sz w:val="28"/>
          <w:szCs w:val="28"/>
        </w:rPr>
        <w:t>695</w:t>
      </w:r>
      <w:r w:rsidRPr="00240C70">
        <w:rPr>
          <w:rFonts w:ascii="Times New Roman" w:hAnsi="Times New Roman"/>
          <w:bCs/>
          <w:iCs/>
          <w:sz w:val="28"/>
          <w:szCs w:val="28"/>
        </w:rPr>
        <w:t>,</w:t>
      </w:r>
      <w:r w:rsidR="00B71566">
        <w:rPr>
          <w:rFonts w:ascii="Times New Roman" w:hAnsi="Times New Roman"/>
          <w:bCs/>
          <w:iCs/>
          <w:sz w:val="28"/>
          <w:szCs w:val="28"/>
        </w:rPr>
        <w:t>230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lastRenderedPageBreak/>
        <w:t>2022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2D9A">
        <w:rPr>
          <w:rFonts w:ascii="Times New Roman" w:hAnsi="Times New Roman"/>
          <w:bCs/>
          <w:iCs/>
          <w:sz w:val="28"/>
          <w:szCs w:val="28"/>
        </w:rPr>
        <w:t>647,750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2023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76,670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76,670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E34F6" w:rsidRPr="00240C70">
        <w:rPr>
          <w:rFonts w:ascii="Times New Roman" w:hAnsi="Times New Roman"/>
          <w:bCs/>
          <w:iCs/>
          <w:sz w:val="28"/>
          <w:szCs w:val="28"/>
        </w:rPr>
        <w:t>76,670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B509E6" w:rsidRPr="00240C70" w:rsidRDefault="00B509E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09E6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76,670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DC28A6" w:rsidRPr="00240C70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внебюджетные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средства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2BB">
        <w:rPr>
          <w:rFonts w:ascii="Times New Roman" w:hAnsi="Times New Roman"/>
          <w:bCs/>
          <w:iCs/>
          <w:sz w:val="28"/>
          <w:szCs w:val="28"/>
        </w:rPr>
        <w:t>40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2BB">
        <w:rPr>
          <w:rFonts w:ascii="Times New Roman" w:hAnsi="Times New Roman"/>
          <w:bCs/>
          <w:iCs/>
          <w:sz w:val="28"/>
          <w:szCs w:val="28"/>
        </w:rPr>
        <w:t>093,848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в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том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числе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по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годам: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2017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2018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2019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021,454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072,394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2021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2022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76AF4" w:rsidRPr="00240C70">
        <w:rPr>
          <w:rFonts w:ascii="Times New Roman" w:hAnsi="Times New Roman"/>
          <w:bCs/>
          <w:iCs/>
          <w:sz w:val="28"/>
          <w:szCs w:val="28"/>
        </w:rPr>
        <w:t>0</w:t>
      </w:r>
      <w:r w:rsidRPr="00240C70">
        <w:rPr>
          <w:rFonts w:ascii="Times New Roman" w:hAnsi="Times New Roman"/>
          <w:bCs/>
          <w:iCs/>
          <w:sz w:val="28"/>
          <w:szCs w:val="28"/>
        </w:rPr>
        <w:t>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2023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2BB">
        <w:rPr>
          <w:rFonts w:ascii="Times New Roman" w:hAnsi="Times New Roman"/>
          <w:bCs/>
          <w:iCs/>
          <w:sz w:val="28"/>
          <w:szCs w:val="28"/>
        </w:rPr>
        <w:t>0</w:t>
      </w:r>
      <w:r w:rsidRPr="00240C70">
        <w:rPr>
          <w:rFonts w:ascii="Times New Roman" w:hAnsi="Times New Roman"/>
          <w:bCs/>
          <w:iCs/>
          <w:sz w:val="28"/>
          <w:szCs w:val="28"/>
        </w:rPr>
        <w:t>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Pr="00240C70" w:rsidRDefault="00DC28A6" w:rsidP="00DC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2024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2BB">
        <w:rPr>
          <w:rFonts w:ascii="Times New Roman" w:hAnsi="Times New Roman"/>
          <w:bCs/>
          <w:iCs/>
          <w:sz w:val="28"/>
          <w:szCs w:val="28"/>
        </w:rPr>
        <w:t>20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000,000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/>
          <w:bCs/>
          <w:iCs/>
          <w:sz w:val="28"/>
          <w:szCs w:val="28"/>
        </w:rPr>
        <w:t>рублей,</w:t>
      </w:r>
    </w:p>
    <w:p w:rsidR="00DC28A6" w:rsidRDefault="00DC28A6" w:rsidP="00DC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40C70">
        <w:rPr>
          <w:rFonts w:ascii="Times New Roman" w:hAnsi="Times New Roman"/>
          <w:bCs/>
          <w:iCs/>
          <w:sz w:val="28"/>
          <w:szCs w:val="28"/>
        </w:rPr>
        <w:t>2</w:t>
      </w:r>
      <w:r w:rsidR="00B509E6">
        <w:rPr>
          <w:rFonts w:ascii="Times New Roman" w:hAnsi="Times New Roman"/>
          <w:bCs/>
          <w:iCs/>
          <w:sz w:val="28"/>
          <w:szCs w:val="28"/>
        </w:rPr>
        <w:t>025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000,000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09E6">
        <w:rPr>
          <w:rFonts w:ascii="Times New Roman" w:hAnsi="Times New Roman"/>
          <w:bCs/>
          <w:iCs/>
          <w:sz w:val="28"/>
          <w:szCs w:val="28"/>
        </w:rPr>
        <w:t>рублей;</w:t>
      </w:r>
    </w:p>
    <w:p w:rsidR="00B509E6" w:rsidRPr="00240C70" w:rsidRDefault="00B509E6" w:rsidP="00DC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509E6">
        <w:rPr>
          <w:rFonts w:ascii="Times New Roman" w:hAnsi="Times New Roman"/>
          <w:bCs/>
          <w:iCs/>
          <w:sz w:val="28"/>
          <w:szCs w:val="28"/>
        </w:rPr>
        <w:t>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год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–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6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000,000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тыс.</w:t>
      </w:r>
      <w:r w:rsidR="008755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509E6">
        <w:rPr>
          <w:rFonts w:ascii="Times New Roman" w:hAnsi="Times New Roman"/>
          <w:bCs/>
          <w:iCs/>
          <w:sz w:val="28"/>
          <w:szCs w:val="28"/>
        </w:rPr>
        <w:t>рублей</w:t>
      </w:r>
    </w:p>
    <w:p w:rsidR="0004649A" w:rsidRPr="00240C70" w:rsidRDefault="0004649A" w:rsidP="00DC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C70">
        <w:rPr>
          <w:rFonts w:ascii="Times New Roman" w:hAnsi="Times New Roman" w:cs="Times New Roman"/>
          <w:bCs/>
          <w:iCs/>
          <w:sz w:val="28"/>
          <w:szCs w:val="28"/>
        </w:rPr>
        <w:t>Источником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внебюджетных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предоставление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платных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услуг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населению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подведомственными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бюджетными</w:t>
      </w:r>
      <w:r w:rsidR="008755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Cs/>
          <w:iCs/>
          <w:sz w:val="28"/>
          <w:szCs w:val="28"/>
        </w:rPr>
        <w:t>учреждениями.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62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8.Управление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реализацией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0C70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ходом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ее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исполнения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ответственный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исполнитель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–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sz w:val="28"/>
          <w:szCs w:val="28"/>
        </w:rPr>
        <w:t>сектор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sz w:val="28"/>
          <w:szCs w:val="28"/>
        </w:rPr>
        <w:t>спорту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821C5D" w:rsidRPr="00240C70">
        <w:rPr>
          <w:rFonts w:ascii="Times New Roman" w:hAnsi="Times New Roman" w:cs="Times New Roman"/>
          <w:sz w:val="28"/>
          <w:szCs w:val="28"/>
        </w:rPr>
        <w:t>туризму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координирует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деятельность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соисполнителей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участников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Программы.</w:t>
      </w:r>
    </w:p>
    <w:p w:rsidR="009A52BC" w:rsidRPr="00240C70" w:rsidRDefault="009A52BC" w:rsidP="005334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участию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привлекаются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городских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сельских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поселений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Исполнители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соисполнители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отвечают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предоставление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отчётов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осуществляют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подготовку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предложений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внесении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изменений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продление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сроков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завершения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прекращения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её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действия.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Порядок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мониторинга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отчетности: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ходе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итогам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каждого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полугодия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года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предоставляются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отдел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туризму,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молодежной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политике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Освещение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осуществляется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через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массовой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информационные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ресурсы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сети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Интернет.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Ответственный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исполнитель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592862">
        <w:rPr>
          <w:rFonts w:ascii="Times New Roman" w:hAnsi="Times New Roman" w:cs="Times New Roman"/>
          <w:sz w:val="28"/>
          <w:szCs w:val="28"/>
        </w:rPr>
        <w:t>пред</w:t>
      </w:r>
      <w:r w:rsidRPr="00240C70">
        <w:rPr>
          <w:rFonts w:ascii="Times New Roman" w:hAnsi="Times New Roman" w:cs="Times New Roman"/>
          <w:sz w:val="28"/>
          <w:szCs w:val="28"/>
        </w:rPr>
        <w:t>ставляет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отчет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1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полугодие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240C70">
        <w:rPr>
          <w:rFonts w:ascii="Times New Roman" w:hAnsi="Times New Roman" w:cs="Times New Roman"/>
          <w:sz w:val="28"/>
          <w:szCs w:val="28"/>
        </w:rPr>
        <w:t>экономический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240C70">
        <w:rPr>
          <w:rFonts w:ascii="Times New Roman" w:hAnsi="Times New Roman" w:cs="Times New Roman"/>
          <w:sz w:val="28"/>
          <w:szCs w:val="28"/>
        </w:rPr>
        <w:t>сектор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240C70">
        <w:rPr>
          <w:rFonts w:ascii="Times New Roman" w:hAnsi="Times New Roman" w:cs="Times New Roman"/>
          <w:sz w:val="28"/>
          <w:szCs w:val="28"/>
        </w:rPr>
        <w:t>финансового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5F6964" w:rsidRPr="00240C70">
        <w:rPr>
          <w:rFonts w:ascii="Times New Roman" w:hAnsi="Times New Roman" w:cs="Times New Roman"/>
          <w:sz w:val="28"/>
          <w:szCs w:val="28"/>
        </w:rPr>
        <w:t>управления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59286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40C70">
        <w:rPr>
          <w:rFonts w:ascii="Times New Roman" w:hAnsi="Times New Roman" w:cs="Times New Roman"/>
          <w:sz w:val="28"/>
          <w:szCs w:val="28"/>
        </w:rPr>
        <w:t>.</w:t>
      </w:r>
    </w:p>
    <w:p w:rsidR="009A52BC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62" w:rsidRPr="00240C70" w:rsidRDefault="00592862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меры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Система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регулирования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предусматривает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разработку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правовых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вопросам,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относящимся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компетенции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администрации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Сведения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основных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мерах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правового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регулирования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сфере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представлены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приложении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5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Программе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BC" w:rsidRPr="00240C70" w:rsidRDefault="009A52BC" w:rsidP="00592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70">
        <w:rPr>
          <w:rFonts w:ascii="Times New Roman" w:hAnsi="Times New Roman" w:cs="Times New Roman"/>
          <w:b/>
          <w:sz w:val="28"/>
          <w:szCs w:val="28"/>
        </w:rPr>
        <w:t>10.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Анализ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рисков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7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Важным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условием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успешной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настоящей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является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компонент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минимизации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влияния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достижение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Выполнению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поставленных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задач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помешать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сложившиеся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воздействием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негативных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факторов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имеющихся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обществе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проблем.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относятся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макроэкономические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возможностями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темпов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роста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экономики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инвестиционной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активности,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кризисом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банковской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возникновением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бюджетного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дефицита.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отразиться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уровне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государства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наиболее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затратных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числе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строительством,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реконструкцией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капитальным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ремонтом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учреждений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т.п.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Экономические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повлечь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изменения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стоимости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предоставления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услуг,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что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может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негативно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сказаться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структуре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потребительских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предпочтений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населения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Операционные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связаны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несовершенством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недостаточной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технической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нормативной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правовой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поддержкой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нарушению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сроков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запланированных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ухудшения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международных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межрегиональных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отношений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области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культуры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смежных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областях.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резкому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уменьшению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объема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получаемой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информации,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снижению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возможностей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проведении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физкультурных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спортивных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Техногенные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экологические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связанные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возникновением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крупной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техногенной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экологической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катастрофы.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отвлечению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средств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финансирования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пользу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других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направлений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развития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переориентации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ликвидацию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последствий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катастрофы.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финансовой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необеспеченности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связаны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недостаточностью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бюджетных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средств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Программы.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Эти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могут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привести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не</w:t>
      </w:r>
      <w:r w:rsidR="002D092A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достижению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запланированных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(индикаторов),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нарушению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lastRenderedPageBreak/>
        <w:t>сроков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мероприятий,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отрицательной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динамике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ухудшению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рейтинговой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ситуации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муниципального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района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Хабаровскому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краю.</w:t>
      </w:r>
    </w:p>
    <w:p w:rsidR="009A52BC" w:rsidRPr="00240C70" w:rsidRDefault="009A52BC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целях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управления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указанными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рисками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процессе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реализации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Pr="00240C70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9A52BC" w:rsidRPr="00240C70" w:rsidRDefault="002D092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BC" w:rsidRPr="00240C70">
        <w:rPr>
          <w:rFonts w:ascii="Times New Roman" w:hAnsi="Times New Roman" w:cs="Times New Roman"/>
          <w:sz w:val="28"/>
          <w:szCs w:val="28"/>
        </w:rPr>
        <w:t>формирование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эффективной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системы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управления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основе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четкого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распределения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функций,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полномочий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ответственности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ответственного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исполнителя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соисполнителей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240C70" w:rsidRDefault="002D092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BC" w:rsidRPr="00240C70">
        <w:rPr>
          <w:rFonts w:ascii="Times New Roman" w:hAnsi="Times New Roman" w:cs="Times New Roman"/>
          <w:sz w:val="28"/>
          <w:szCs w:val="28"/>
        </w:rPr>
        <w:t>обеспечение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эффективного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взаимодействия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ответственного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исполнителя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соисполнителей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240C70" w:rsidRDefault="002D092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проведение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мониторинга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выполнения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Программы,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регулярного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анализа,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необходимости,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ежегодной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корректировки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показателей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(индикаторов),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также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мероприятий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Программы;</w:t>
      </w:r>
    </w:p>
    <w:p w:rsidR="009A52BC" w:rsidRPr="00240C70" w:rsidRDefault="002D092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BC" w:rsidRPr="00240C70">
        <w:rPr>
          <w:rFonts w:ascii="Times New Roman" w:hAnsi="Times New Roman" w:cs="Times New Roman"/>
          <w:sz w:val="28"/>
          <w:szCs w:val="28"/>
        </w:rPr>
        <w:t>планирование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оперативная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корректировка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Программы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с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учетом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оценки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эффективности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реализации,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достижения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установленных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цели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задач;</w:t>
      </w:r>
    </w:p>
    <w:p w:rsidR="009A52BC" w:rsidRPr="00240C70" w:rsidRDefault="002D092A" w:rsidP="0053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BC" w:rsidRPr="00240C70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объемов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финансирования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зависимости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от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характера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проявления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рисков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оптимального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наиболее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эффективного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использования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бюджетных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ассигнований,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выделенных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на</w:t>
      </w:r>
      <w:r w:rsidR="00875582">
        <w:rPr>
          <w:rFonts w:ascii="Times New Roman" w:hAnsi="Times New Roman" w:cs="Times New Roman"/>
          <w:sz w:val="28"/>
          <w:szCs w:val="28"/>
        </w:rPr>
        <w:t xml:space="preserve"> </w:t>
      </w:r>
      <w:r w:rsidR="009A52BC" w:rsidRPr="00240C70">
        <w:rPr>
          <w:rFonts w:ascii="Times New Roman" w:hAnsi="Times New Roman" w:cs="Times New Roman"/>
          <w:sz w:val="28"/>
          <w:szCs w:val="28"/>
        </w:rPr>
        <w:t>Программу.</w:t>
      </w:r>
    </w:p>
    <w:p w:rsidR="0044774D" w:rsidRPr="00240C70" w:rsidRDefault="009A52BC" w:rsidP="002D0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C70">
        <w:rPr>
          <w:rFonts w:ascii="Times New Roman" w:hAnsi="Times New Roman" w:cs="Times New Roman"/>
          <w:sz w:val="28"/>
          <w:szCs w:val="28"/>
        </w:rPr>
        <w:t>_____________</w:t>
      </w: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BC" w:rsidRPr="00240C70" w:rsidRDefault="009A52BC" w:rsidP="0053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52BC" w:rsidRPr="00240C70" w:rsidSect="00932225">
          <w:headerReference w:type="default" r:id="rId12"/>
          <w:pgSz w:w="11906" w:h="16838" w:code="9"/>
          <w:pgMar w:top="1134" w:right="567" w:bottom="1134" w:left="2041" w:header="567" w:footer="567" w:gutter="0"/>
          <w:cols w:space="708"/>
          <w:titlePg/>
          <w:docGrid w:linePitch="360"/>
        </w:sectPr>
      </w:pPr>
    </w:p>
    <w:p w:rsidR="009A52BC" w:rsidRDefault="009A52BC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1</w:t>
      </w:r>
    </w:p>
    <w:p w:rsidR="004D1205" w:rsidRDefault="004D1205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4D1205" w:rsidRDefault="004D1205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4D1205" w:rsidRDefault="004D1205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4D1205" w:rsidRDefault="004D1205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4D1205" w:rsidRDefault="00CC43B0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9E1907" w:rsidRDefault="009E1907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1205" w:rsidRDefault="004D1205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2833E8" w:rsidRDefault="002833E8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2833E8" w:rsidRDefault="002833E8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2833E8" w:rsidRPr="002D092A" w:rsidRDefault="002833E8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20300E" w:rsidRPr="002D092A" w:rsidRDefault="00875582" w:rsidP="004D1205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«Развитие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физической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культуры,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спорта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и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молодежной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политики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в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Верхнебуреинском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муниципальном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0219B" w:rsidRPr="002D092A">
        <w:rPr>
          <w:rFonts w:ascii="Times New Roman" w:hAnsi="Times New Roman" w:cs="Times New Roman"/>
          <w:sz w:val="24"/>
          <w:szCs w:val="24"/>
        </w:rPr>
        <w:t>районе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C66D1" w:rsidRPr="002D092A">
        <w:rPr>
          <w:rFonts w:ascii="Times New Roman" w:hAnsi="Times New Roman" w:cs="Times New Roman"/>
          <w:sz w:val="24"/>
          <w:szCs w:val="24"/>
        </w:rPr>
        <w:t>Хабаровского</w:t>
      </w:r>
      <w:r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8C66D1" w:rsidRPr="002D092A">
        <w:rPr>
          <w:rFonts w:ascii="Times New Roman" w:hAnsi="Times New Roman" w:cs="Times New Roman"/>
          <w:sz w:val="24"/>
          <w:szCs w:val="24"/>
        </w:rPr>
        <w:t>края</w:t>
      </w:r>
      <w:r w:rsidR="0080219B" w:rsidRPr="002D092A">
        <w:rPr>
          <w:rFonts w:ascii="Times New Roman" w:hAnsi="Times New Roman" w:cs="Times New Roman"/>
          <w:sz w:val="24"/>
          <w:szCs w:val="24"/>
        </w:rPr>
        <w:t>»</w:t>
      </w:r>
    </w:p>
    <w:p w:rsidR="00A528A4" w:rsidRPr="002D092A" w:rsidRDefault="00A528A4" w:rsidP="008021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49A" w:rsidRPr="002D092A" w:rsidRDefault="0004649A" w:rsidP="0004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4649A" w:rsidRPr="002D092A" w:rsidRDefault="0004649A" w:rsidP="0004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показателях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(индикаторах)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A528A4" w:rsidRPr="002D092A" w:rsidRDefault="00A528A4" w:rsidP="0004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3"/>
        <w:gridCol w:w="3624"/>
        <w:gridCol w:w="993"/>
        <w:gridCol w:w="1417"/>
        <w:gridCol w:w="996"/>
        <w:gridCol w:w="993"/>
        <w:gridCol w:w="993"/>
        <w:gridCol w:w="993"/>
        <w:gridCol w:w="847"/>
        <w:gridCol w:w="993"/>
        <w:gridCol w:w="993"/>
        <w:gridCol w:w="996"/>
        <w:gridCol w:w="1129"/>
      </w:tblGrid>
      <w:tr w:rsidR="00177BED" w:rsidRPr="002D092A" w:rsidTr="002833E8">
        <w:trPr>
          <w:tblCellSpacing w:w="5" w:type="nil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77BED" w:rsidRPr="002D092A" w:rsidRDefault="00875582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7BED"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77BED" w:rsidRPr="002D09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7BED"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</w:p>
          <w:p w:rsid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4D1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A528A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2716E" w:rsidRPr="002D092A" w:rsidRDefault="0042716E" w:rsidP="0042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3632"/>
        <w:gridCol w:w="990"/>
        <w:gridCol w:w="1417"/>
        <w:gridCol w:w="996"/>
        <w:gridCol w:w="996"/>
        <w:gridCol w:w="990"/>
        <w:gridCol w:w="996"/>
        <w:gridCol w:w="851"/>
        <w:gridCol w:w="996"/>
        <w:gridCol w:w="990"/>
        <w:gridCol w:w="996"/>
        <w:gridCol w:w="1120"/>
      </w:tblGrid>
      <w:tr w:rsidR="004D1205" w:rsidRPr="002D092A" w:rsidTr="002833E8">
        <w:trPr>
          <w:tblHeader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4D120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33E8" w:rsidRPr="002D092A" w:rsidTr="002833E8">
        <w:trPr>
          <w:trHeight w:val="173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слоев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организованным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</w:tcPr>
          <w:p w:rsidR="002833E8" w:rsidRPr="002D092A" w:rsidRDefault="0028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10357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10480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14116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сдаче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57,71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сдаче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A1025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833E8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A1025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35697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50100</w:t>
            </w:r>
          </w:p>
        </w:tc>
      </w:tr>
      <w:tr w:rsidR="007A1025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A1025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1025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A1025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A1025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8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(6-15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лет),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A1025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860843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штатными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860843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7A1025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7A1025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25" w:rsidRPr="002D092A" w:rsidRDefault="007A1025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залами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860843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плоскостными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сооружениями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860843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860843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860843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24358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24358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добровольческую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24358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60843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клубов,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724358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0843" w:rsidRPr="002D092A" w:rsidTr="002833E8">
        <w:trPr>
          <w:gridAfter w:val="1"/>
          <w:wAfter w:w="354" w:type="pct"/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3" w:rsidRPr="002D092A" w:rsidRDefault="00860843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4D1205" w:rsidRPr="002D092A" w:rsidTr="002833E8">
        <w:trPr>
          <w:tblCellSpacing w:w="5" w:type="nil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отрядов,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A41C0E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ED" w:rsidRPr="002D092A" w:rsidRDefault="00177BED" w:rsidP="00177BED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9A52BC" w:rsidRPr="002D092A" w:rsidRDefault="0004649A" w:rsidP="00283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__________________</w:t>
      </w:r>
    </w:p>
    <w:p w:rsidR="009A52BC" w:rsidRPr="002D092A" w:rsidRDefault="009A52BC" w:rsidP="00E0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2D092A" w:rsidRDefault="009A52BC" w:rsidP="00E0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2BC" w:rsidRPr="002D092A" w:rsidRDefault="009A52BC" w:rsidP="00E0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219B" w:rsidRPr="002D092A" w:rsidRDefault="0080219B" w:rsidP="003D0A2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2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3D0A28" w:rsidRPr="002D092A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3D0A28" w:rsidRPr="002D092A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Верхнебуреинском муниципальном районе Хабаровского края»</w:t>
      </w:r>
    </w:p>
    <w:p w:rsidR="0080219B" w:rsidRPr="002D092A" w:rsidRDefault="0080219B" w:rsidP="008021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21F" w:rsidRPr="002D092A" w:rsidRDefault="0003621F" w:rsidP="0004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49A" w:rsidRPr="002D092A" w:rsidRDefault="0004649A" w:rsidP="003361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ПЕРЕЧЕНЬ</w:t>
      </w:r>
    </w:p>
    <w:p w:rsidR="0004649A" w:rsidRPr="002D092A" w:rsidRDefault="0004649A" w:rsidP="0033619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основных</w:t>
      </w:r>
      <w:r w:rsidR="00875582"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мероприятий</w:t>
      </w:r>
      <w:r w:rsidR="0003621F" w:rsidRPr="002D092A">
        <w:rPr>
          <w:rFonts w:ascii="Times New Roman" w:hAnsi="Times New Roman" w:cs="Times New Roman"/>
          <w:sz w:val="24"/>
          <w:szCs w:val="24"/>
        </w:rPr>
        <w:t>,</w:t>
      </w:r>
      <w:r w:rsidR="00875582"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="0003621F" w:rsidRPr="002D092A">
        <w:rPr>
          <w:rFonts w:ascii="Times New Roman" w:hAnsi="Times New Roman" w:cs="Times New Roman"/>
          <w:sz w:val="24"/>
          <w:szCs w:val="24"/>
        </w:rPr>
        <w:t>мероприятий</w:t>
      </w:r>
      <w:r w:rsidR="00875582"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программы</w:t>
      </w:r>
    </w:p>
    <w:p w:rsidR="0003621F" w:rsidRPr="002D092A" w:rsidRDefault="0003621F" w:rsidP="00046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8"/>
        <w:gridCol w:w="3983"/>
        <w:gridCol w:w="3050"/>
        <w:gridCol w:w="1421"/>
        <w:gridCol w:w="3469"/>
        <w:gridCol w:w="3253"/>
      </w:tblGrid>
      <w:tr w:rsidR="00240C70" w:rsidRPr="002D092A" w:rsidTr="005D65FA">
        <w:trPr>
          <w:trHeight w:val="40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9D7C09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5B53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Последствие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</w:tbl>
    <w:p w:rsidR="00617A51" w:rsidRPr="002D092A" w:rsidRDefault="00617A51" w:rsidP="0061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8"/>
        <w:gridCol w:w="3983"/>
        <w:gridCol w:w="3050"/>
        <w:gridCol w:w="1421"/>
        <w:gridCol w:w="3469"/>
        <w:gridCol w:w="3253"/>
      </w:tblGrid>
      <w:tr w:rsidR="00240C70" w:rsidRPr="002D092A" w:rsidTr="00395779">
        <w:trPr>
          <w:tblHeader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1589" w:rsidP="009D7C09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1589" w:rsidP="005B53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1589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1589" w:rsidP="00AF7B5A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C70" w:rsidRPr="002D092A" w:rsidTr="00CF655F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AF7B5A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4" w:rsidRPr="002D092A" w:rsidRDefault="005C5294" w:rsidP="005B5328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rHeight w:val="720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культурно-нравственных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63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9D7C09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достижению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поощрения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2D092A" w:rsidRDefault="003D4959" w:rsidP="003D495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2D092A" w:rsidRDefault="003D4959" w:rsidP="003D495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3D4959" w:rsidRPr="002D092A" w:rsidRDefault="003D4959" w:rsidP="003D495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«Доля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2D092A" w:rsidRDefault="003D4959" w:rsidP="003D495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09" w:rsidRPr="002D092A" w:rsidRDefault="003D4959" w:rsidP="003D495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5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95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9D7C0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бухучета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утрата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культурно-нравственных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CF655F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5B5328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</w:tr>
      <w:tr w:rsidR="00240C70" w:rsidRPr="002D092A" w:rsidTr="005D65FA">
        <w:trPr>
          <w:trHeight w:val="360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3D4959" w:rsidRPr="002D092A" w:rsidRDefault="003D495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</w:p>
        </w:tc>
      </w:tr>
      <w:tr w:rsidR="00240C70" w:rsidRPr="002D092A" w:rsidTr="00CF655F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5B5328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4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034" w:rsidRPr="002D092A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4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9D7C09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034" w:rsidRPr="002D092A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</w:tr>
      <w:tr w:rsidR="00240C70" w:rsidRPr="002D092A" w:rsidTr="00CF655F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5B5328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AB7063" w:rsidP="009D7C0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09" w:rsidRPr="002D092A" w:rsidRDefault="009D7C09" w:rsidP="009D7C0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2D092A" w:rsidTr="00481CFC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1A2425" w:rsidP="001A242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481CFC" w:rsidP="001A242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1A2425" w:rsidP="001A2425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1A2425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1A2425" w:rsidP="001A2425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25" w:rsidRPr="002D092A" w:rsidRDefault="001A2425" w:rsidP="001A2425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2D092A" w:rsidTr="00481CFC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тренеров,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судей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соревновательной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мастерства,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антиобщественных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преступных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2D092A" w:rsidTr="00972915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инвентарем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2D092A" w:rsidTr="00972915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неотъемлемого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молодежью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молодежью,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ВРБОО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Инициатива»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практику,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(конкурсах,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олимпиадах)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интеллектуальному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творческому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240C70" w:rsidRPr="002D092A" w:rsidTr="007B29DD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военно-спортивных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межэтнических,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настроений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вовлекаемой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вовлекаемой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240C70" w:rsidRPr="002D092A" w:rsidTr="00972915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успешная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несовершеннолетних,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асоциальной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КГБПОУ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успешное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трудовую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</w:tr>
      <w:tr w:rsidR="00240C70" w:rsidRPr="002D092A" w:rsidTr="005D65FA">
        <w:trPr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туризму,</w:t>
            </w:r>
          </w:p>
          <w:p w:rsidR="001C48A9" w:rsidRPr="002D092A" w:rsidRDefault="001C48A9" w:rsidP="001C48A9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040FD2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040FD2"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9" w:rsidRPr="002D092A" w:rsidRDefault="001C48A9" w:rsidP="001C48A9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</w:tbl>
    <w:p w:rsidR="001857AF" w:rsidRPr="002D092A" w:rsidRDefault="0004649A" w:rsidP="00185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_________________</w:t>
      </w:r>
    </w:p>
    <w:p w:rsidR="009146A4" w:rsidRPr="002D092A" w:rsidRDefault="009146A4" w:rsidP="001857AF">
      <w:pPr>
        <w:jc w:val="center"/>
        <w:rPr>
          <w:rFonts w:ascii="Times New Roman" w:hAnsi="Times New Roman" w:cs="Times New Roman"/>
          <w:sz w:val="24"/>
          <w:szCs w:val="24"/>
        </w:rPr>
        <w:sectPr w:rsidR="009146A4" w:rsidRPr="002D092A" w:rsidSect="002D092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0219B" w:rsidRPr="002D092A" w:rsidRDefault="0080219B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№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3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«УТВЕРЖДЕНА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3D0A28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3D0A28" w:rsidRPr="002D092A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3D0A28" w:rsidRPr="002D092A" w:rsidRDefault="003D0A28" w:rsidP="003D0A28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Верхнебуреинском муниципальном районе Хабаровского края»</w:t>
      </w:r>
    </w:p>
    <w:p w:rsidR="0080219B" w:rsidRPr="002D092A" w:rsidRDefault="0080219B" w:rsidP="008021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ОБЕСПЕЧЕНИЕ</w:t>
      </w: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за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счет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средств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бюджета</w:t>
      </w:r>
    </w:p>
    <w:p w:rsidR="0080219B" w:rsidRPr="002D092A" w:rsidRDefault="0080219B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86"/>
        <w:gridCol w:w="4027"/>
        <w:gridCol w:w="2962"/>
        <w:gridCol w:w="1259"/>
        <w:gridCol w:w="1405"/>
        <w:gridCol w:w="1338"/>
        <w:gridCol w:w="1341"/>
        <w:gridCol w:w="1341"/>
        <w:gridCol w:w="1395"/>
      </w:tblGrid>
      <w:tr w:rsidR="00240C70" w:rsidRPr="002D092A" w:rsidTr="004D2ECF">
        <w:trPr>
          <w:trHeight w:val="360"/>
          <w:tblCellSpacing w:w="5" w:type="nil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40FD2" w:rsidRPr="002D092A" w:rsidTr="004D2ECF">
        <w:trPr>
          <w:trHeight w:val="620"/>
          <w:tblCellSpacing w:w="5" w:type="nil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80219B" w:rsidRPr="002D092A" w:rsidRDefault="0080219B" w:rsidP="0080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86"/>
        <w:gridCol w:w="4027"/>
        <w:gridCol w:w="2962"/>
        <w:gridCol w:w="1259"/>
        <w:gridCol w:w="1405"/>
        <w:gridCol w:w="1338"/>
        <w:gridCol w:w="1341"/>
        <w:gridCol w:w="1341"/>
        <w:gridCol w:w="1395"/>
      </w:tblGrid>
      <w:tr w:rsidR="00240C70" w:rsidRPr="002D092A" w:rsidTr="004D2ECF">
        <w:trPr>
          <w:tblHeader/>
          <w:tblCellSpacing w:w="5" w:type="nil"/>
        </w:trPr>
        <w:tc>
          <w:tcPr>
            <w:tcW w:w="248" w:type="pct"/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pct"/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</w:tcPr>
          <w:p w:rsidR="00717B0A" w:rsidRPr="002D092A" w:rsidRDefault="00717B0A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</w:tcPr>
          <w:p w:rsidR="00717B0A" w:rsidRPr="002D092A" w:rsidRDefault="00790353" w:rsidP="00B9782B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FD2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 w:val="restar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4" w:type="pct"/>
          </w:tcPr>
          <w:p w:rsidR="00040FD2" w:rsidRPr="003D0A28" w:rsidRDefault="00040FD2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47285,105</w:t>
            </w:r>
          </w:p>
        </w:tc>
        <w:tc>
          <w:tcPr>
            <w:tcW w:w="443" w:type="pct"/>
          </w:tcPr>
          <w:p w:rsidR="00040FD2" w:rsidRPr="003D0A28" w:rsidRDefault="003006A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36110,101</w:t>
            </w:r>
          </w:p>
        </w:tc>
        <w:tc>
          <w:tcPr>
            <w:tcW w:w="422" w:type="pct"/>
          </w:tcPr>
          <w:p w:rsidR="00040FD2" w:rsidRPr="003D0A28" w:rsidRDefault="00CF0EFA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58165,040</w:t>
            </w:r>
          </w:p>
        </w:tc>
        <w:tc>
          <w:tcPr>
            <w:tcW w:w="423" w:type="pct"/>
          </w:tcPr>
          <w:p w:rsidR="00040FD2" w:rsidRPr="003D0A28" w:rsidRDefault="00CF0EFA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48030,076</w:t>
            </w:r>
          </w:p>
        </w:tc>
        <w:tc>
          <w:tcPr>
            <w:tcW w:w="423" w:type="pct"/>
          </w:tcPr>
          <w:p w:rsidR="00040FD2" w:rsidRPr="003D0A28" w:rsidRDefault="00CF0EFA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57518,500</w:t>
            </w:r>
          </w:p>
        </w:tc>
        <w:tc>
          <w:tcPr>
            <w:tcW w:w="440" w:type="pct"/>
          </w:tcPr>
          <w:p w:rsidR="00040FD2" w:rsidRPr="003D0A28" w:rsidRDefault="00CF0EFA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57518,500</w:t>
            </w:r>
          </w:p>
        </w:tc>
      </w:tr>
      <w:tr w:rsidR="00040FD2" w:rsidRPr="002D092A" w:rsidTr="007865CA">
        <w:trPr>
          <w:tblCellSpacing w:w="5" w:type="nil"/>
        </w:trPr>
        <w:tc>
          <w:tcPr>
            <w:tcW w:w="248" w:type="pct"/>
            <w:vMerge/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040FD2" w:rsidRPr="003D0A28" w:rsidRDefault="00040FD2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43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040FD2" w:rsidRPr="003D0A28" w:rsidRDefault="003006A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40FD2" w:rsidRPr="002D092A" w:rsidTr="007865CA">
        <w:trPr>
          <w:tblCellSpacing w:w="5" w:type="nil"/>
        </w:trPr>
        <w:tc>
          <w:tcPr>
            <w:tcW w:w="248" w:type="pct"/>
            <w:vMerge/>
          </w:tcPr>
          <w:p w:rsidR="00040FD2" w:rsidRPr="002D092A" w:rsidRDefault="00040FD2" w:rsidP="00B9782B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040FD2" w:rsidRPr="003D0A28" w:rsidRDefault="00040FD2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040FD2" w:rsidRPr="003D0A28" w:rsidRDefault="00040FD2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3" w:type="pct"/>
          </w:tcPr>
          <w:p w:rsidR="00040FD2" w:rsidRPr="003D0A28" w:rsidRDefault="00856292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647,750</w:t>
            </w:r>
          </w:p>
        </w:tc>
        <w:tc>
          <w:tcPr>
            <w:tcW w:w="422" w:type="pct"/>
          </w:tcPr>
          <w:p w:rsidR="00040FD2" w:rsidRPr="003D0A28" w:rsidRDefault="00040FD2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3" w:type="pct"/>
          </w:tcPr>
          <w:p w:rsidR="00040FD2" w:rsidRPr="003D0A28" w:rsidRDefault="00F64981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040FD2" w:rsidRPr="003D0A28" w:rsidRDefault="00F64981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040FD2" w:rsidRPr="003D0A28" w:rsidRDefault="00F64981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34" w:type="pct"/>
          </w:tcPr>
          <w:p w:rsidR="00913D63" w:rsidRPr="003D0A28" w:rsidRDefault="00913D63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26044,265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32850,741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39366,5</w:t>
            </w:r>
            <w:r w:rsidR="00533278" w:rsidRPr="003D0A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45631,500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56848,500</w:t>
            </w:r>
          </w:p>
        </w:tc>
        <w:tc>
          <w:tcPr>
            <w:tcW w:w="440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56848,500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3D0A28">
            <w:pPr>
              <w:pStyle w:val="ConsPlusNormal"/>
              <w:spacing w:before="6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0" w:type="pct"/>
          </w:tcPr>
          <w:p w:rsidR="00913D63" w:rsidRPr="003D0A28" w:rsidRDefault="00533278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40" w:type="pct"/>
          </w:tcPr>
          <w:p w:rsidR="00913D63" w:rsidRPr="002D092A" w:rsidRDefault="00533278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  <w:tc>
          <w:tcPr>
            <w:tcW w:w="440" w:type="pct"/>
          </w:tcPr>
          <w:p w:rsidR="00913D63" w:rsidRPr="002D092A" w:rsidRDefault="00533278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76,670</w:t>
            </w:r>
          </w:p>
        </w:tc>
      </w:tr>
      <w:tr w:rsidR="00913D63" w:rsidRPr="002D092A" w:rsidTr="007865CA">
        <w:trPr>
          <w:trHeight w:val="620"/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25867,595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32674,071</w:t>
            </w:r>
          </w:p>
        </w:tc>
        <w:tc>
          <w:tcPr>
            <w:tcW w:w="422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39189,900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45454,830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56671,830</w:t>
            </w:r>
          </w:p>
        </w:tc>
        <w:tc>
          <w:tcPr>
            <w:tcW w:w="440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56671,830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1163"/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452"/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307,142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622,000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278" w:rsidRPr="003D0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3,216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40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307,142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622,000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283,216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440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привлечении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тренеров,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судей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20826,830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1896,280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2015,360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1896,280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2015,360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355"/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20826,830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880"/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703"/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503"/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20826,830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rHeight w:val="880"/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20618,560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9E022E">
        <w:trPr>
          <w:trHeight w:val="501"/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571,080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0" w:type="pct"/>
            <w:vMerge w:val="restart"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106,868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22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23" w:type="pct"/>
          </w:tcPr>
          <w:p w:rsidR="00913D63" w:rsidRPr="003D0A28" w:rsidRDefault="00531419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40" w:type="pct"/>
          </w:tcPr>
          <w:p w:rsidR="00913D63" w:rsidRPr="003D0A28" w:rsidRDefault="00533278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3D0A28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3D0A28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3D0A28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3D0A28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70" w:type="pct"/>
            <w:vMerge w:val="restart"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22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23" w:type="pct"/>
          </w:tcPr>
          <w:p w:rsidR="00913D63" w:rsidRPr="002D092A" w:rsidRDefault="00531419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913D63" w:rsidRPr="002D092A" w:rsidTr="007865CA">
        <w:trPr>
          <w:tblCellSpacing w:w="5" w:type="nil"/>
        </w:trPr>
        <w:tc>
          <w:tcPr>
            <w:tcW w:w="248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913D63" w:rsidRPr="002D092A" w:rsidRDefault="00913D63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913D63" w:rsidRPr="002D092A" w:rsidRDefault="00913D63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913D63" w:rsidRPr="002D092A" w:rsidRDefault="00913D63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913D63" w:rsidRPr="002D092A" w:rsidRDefault="00913D63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70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106,868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0" w:type="pct"/>
            <w:vMerge w:val="restart"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34" w:type="pct"/>
          </w:tcPr>
          <w:p w:rsidR="00B76096" w:rsidRPr="003D0A28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3D0A28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3D0A28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3D0A28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3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3D0A28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3D0A28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2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70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70" w:type="pct"/>
            <w:vMerge w:val="restart"/>
          </w:tcPr>
          <w:p w:rsidR="00B76096" w:rsidRPr="002D092A" w:rsidRDefault="00B76096" w:rsidP="00631A7C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70" w:type="pct"/>
            <w:vMerge w:val="restart"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76096" w:rsidRPr="002D092A" w:rsidTr="007865CA">
        <w:trPr>
          <w:tblCellSpacing w:w="5" w:type="nil"/>
        </w:trPr>
        <w:tc>
          <w:tcPr>
            <w:tcW w:w="248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</w:tcPr>
          <w:p w:rsidR="00B76096" w:rsidRPr="002D092A" w:rsidRDefault="00B76096" w:rsidP="00631A7C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B76096" w:rsidRPr="002D092A" w:rsidRDefault="00B76096" w:rsidP="00631A7C">
            <w:pPr>
              <w:pStyle w:val="ConsPlusNormal"/>
              <w:spacing w:before="60" w:after="6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7" w:type="pct"/>
          </w:tcPr>
          <w:p w:rsidR="00B76096" w:rsidRPr="002D092A" w:rsidRDefault="00B76096" w:rsidP="003D0A28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2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40" w:type="pct"/>
          </w:tcPr>
          <w:p w:rsidR="00B76096" w:rsidRPr="002D092A" w:rsidRDefault="00B76096" w:rsidP="003D0A28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C59CA" w:rsidRPr="002D092A" w:rsidRDefault="00EC59CA" w:rsidP="004D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2D092A" w:rsidRDefault="00C23D86" w:rsidP="004D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D2ECF" w:rsidRPr="002D092A" w:rsidRDefault="004D2ECF">
      <w:pPr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2D092A" w:rsidRDefault="00BB14EB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4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Верхнебуреинском муниципальном районе Хабаровского края»</w:t>
      </w: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ПРОГНОЗНАЯ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(СПРАВОЧНАЯ)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ОЦЕНКА</w:t>
      </w: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краевого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бюджета,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и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внебюджетных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средств</w:t>
      </w: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на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реализацию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целей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C23D86" w:rsidRPr="002D092A" w:rsidRDefault="00C23D86" w:rsidP="00C23D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64"/>
        <w:gridCol w:w="7014"/>
        <w:gridCol w:w="2838"/>
        <w:gridCol w:w="1363"/>
        <w:gridCol w:w="1259"/>
        <w:gridCol w:w="1310"/>
        <w:gridCol w:w="1306"/>
      </w:tblGrid>
      <w:tr w:rsidR="00B76096" w:rsidRPr="002D092A" w:rsidTr="00DE6CF6">
        <w:trPr>
          <w:trHeight w:val="320"/>
          <w:tblCellSpacing w:w="5" w:type="nil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B76096" w:rsidRPr="002D092A" w:rsidTr="00DE6CF6">
        <w:trPr>
          <w:trHeight w:val="203"/>
          <w:tblCellSpacing w:w="5" w:type="nil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CC727D" w:rsidRPr="002D092A" w:rsidRDefault="00CC727D" w:rsidP="00CC7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59"/>
        <w:gridCol w:w="7009"/>
        <w:gridCol w:w="2938"/>
        <w:gridCol w:w="1254"/>
        <w:gridCol w:w="1290"/>
        <w:gridCol w:w="1302"/>
        <w:gridCol w:w="1302"/>
      </w:tblGrid>
      <w:tr w:rsidR="00B76096" w:rsidRPr="002D092A" w:rsidTr="00B76096">
        <w:trPr>
          <w:tblHeader/>
          <w:tblCellSpacing w:w="5" w:type="nil"/>
        </w:trPr>
        <w:tc>
          <w:tcPr>
            <w:tcW w:w="241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B76096" w:rsidRPr="002D092A" w:rsidRDefault="00B76096" w:rsidP="00BE2CD4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D76" w:rsidRPr="002D092A" w:rsidTr="00B76096">
        <w:trPr>
          <w:trHeight w:val="114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 w:val="restar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58165,040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68030,076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63518,500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63518,500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276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430625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58165,040</w:t>
            </w:r>
          </w:p>
        </w:tc>
        <w:tc>
          <w:tcPr>
            <w:tcW w:w="397" w:type="pct"/>
          </w:tcPr>
          <w:p w:rsidR="00C46D76" w:rsidRPr="009E022E" w:rsidRDefault="00430625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48030,076</w:t>
            </w:r>
          </w:p>
        </w:tc>
        <w:tc>
          <w:tcPr>
            <w:tcW w:w="412" w:type="pct"/>
          </w:tcPr>
          <w:p w:rsidR="00C46D76" w:rsidRPr="009E022E" w:rsidRDefault="00430625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57518,500</w:t>
            </w:r>
          </w:p>
        </w:tc>
        <w:tc>
          <w:tcPr>
            <w:tcW w:w="412" w:type="pct"/>
          </w:tcPr>
          <w:p w:rsidR="00C46D76" w:rsidRPr="009E022E" w:rsidRDefault="00430625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57518,500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20000,000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072428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регулярным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39366,570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45631,500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62848,500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65848,500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BE2CD4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169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97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223C30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39366,570</w:t>
            </w:r>
          </w:p>
        </w:tc>
        <w:tc>
          <w:tcPr>
            <w:tcW w:w="397" w:type="pct"/>
          </w:tcPr>
          <w:p w:rsidR="00C46D76" w:rsidRPr="009E022E" w:rsidRDefault="00223C30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45631,500</w:t>
            </w:r>
          </w:p>
        </w:tc>
        <w:tc>
          <w:tcPr>
            <w:tcW w:w="412" w:type="pct"/>
          </w:tcPr>
          <w:p w:rsidR="00C46D76" w:rsidRPr="009E022E" w:rsidRDefault="00223C30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56848,500</w:t>
            </w:r>
          </w:p>
        </w:tc>
        <w:tc>
          <w:tcPr>
            <w:tcW w:w="412" w:type="pct"/>
          </w:tcPr>
          <w:p w:rsidR="00C46D76" w:rsidRPr="009E022E" w:rsidRDefault="00223C30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56848,500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рекламы,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премиями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открытости,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коллегиальных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поэтапному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733219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397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12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  <w:tc>
          <w:tcPr>
            <w:tcW w:w="412" w:type="pct"/>
          </w:tcPr>
          <w:p w:rsidR="00C46D76" w:rsidRPr="002D092A" w:rsidRDefault="00733219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176,670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«Плавательный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39189,900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45454,830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62671,830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62671,830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39189,900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45454,830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56671,830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56671,830</w:t>
            </w:r>
          </w:p>
        </w:tc>
      </w:tr>
      <w:tr w:rsidR="00C46D76" w:rsidRPr="002D092A" w:rsidTr="00B76096">
        <w:trPr>
          <w:trHeight w:val="145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6000,000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перспективной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95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tabs>
                <w:tab w:val="left" w:pos="180"/>
                <w:tab w:val="center" w:pos="492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tabs>
                <w:tab w:val="center" w:pos="421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tabs>
                <w:tab w:val="center" w:pos="421"/>
              </w:tabs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полиграфической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адаптивного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резерва,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детско-юношеского,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283,216</w:t>
            </w:r>
          </w:p>
        </w:tc>
        <w:tc>
          <w:tcPr>
            <w:tcW w:w="412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12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283,216</w:t>
            </w:r>
          </w:p>
        </w:tc>
        <w:tc>
          <w:tcPr>
            <w:tcW w:w="412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12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283,216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2D092A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2D092A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2551,500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283,216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2D092A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12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D76" w:rsidRPr="002D092A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учащейся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краевых,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дальневосточных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22015,360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20000,000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202015,360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15896,970</w:t>
            </w:r>
          </w:p>
        </w:tc>
        <w:tc>
          <w:tcPr>
            <w:tcW w:w="397" w:type="pct"/>
          </w:tcPr>
          <w:p w:rsidR="00C46D76" w:rsidRPr="002D092A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2015,360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20000,000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(тестов),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(ГТО)»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18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18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18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внешкольного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вовлечения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добровольчество,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«Центра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(конкурсов,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олимпиад)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гражданственности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1B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1B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DA6E1B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1B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1B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военно-спортивных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фестивалей,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430625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25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25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430625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46D76"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25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25" w:rsidRPr="009E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2" w:type="pct"/>
            <w:vMerge w:val="restar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9E022E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9E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9E022E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7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несовершеннолетней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C46D76">
        <w:trPr>
          <w:trHeight w:val="237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12" w:type="pct"/>
            <w:vMerge w:val="restar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pStyle w:val="ConsPlusCel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9E022E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F3501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F3501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F3501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F35017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D76" w:rsidRPr="002D092A" w:rsidTr="00B76096">
        <w:trPr>
          <w:trHeight w:val="320"/>
          <w:tblCellSpacing w:w="5" w:type="nil"/>
        </w:trPr>
        <w:tc>
          <w:tcPr>
            <w:tcW w:w="241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7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7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2" w:type="pct"/>
          </w:tcPr>
          <w:p w:rsidR="00C46D76" w:rsidRPr="002D092A" w:rsidRDefault="00C46D76" w:rsidP="00F35017">
            <w:pPr>
              <w:pStyle w:val="ConsPlusCell"/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857AF" w:rsidRPr="002D092A" w:rsidRDefault="00C23D86" w:rsidP="009E0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857AF" w:rsidRPr="002D092A" w:rsidRDefault="001857AF" w:rsidP="003C2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2D092A" w:rsidRDefault="001857AF" w:rsidP="003C2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385" w:rsidRPr="002D092A" w:rsidRDefault="003C2385">
      <w:pPr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2D092A" w:rsidRDefault="00BB14EB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D092A">
        <w:rPr>
          <w:rFonts w:ascii="Times New Roman" w:hAnsi="Times New Roman" w:cs="Times New Roman"/>
          <w:bCs/>
          <w:sz w:val="24"/>
          <w:szCs w:val="24"/>
        </w:rPr>
        <w:t>5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Верхнебуреинском муниципальном районе Хабаровского края»</w:t>
      </w:r>
    </w:p>
    <w:p w:rsidR="00BB14EB" w:rsidRPr="002D092A" w:rsidRDefault="00BB14EB" w:rsidP="00BB14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951" w:rsidRPr="002D092A" w:rsidRDefault="00644951" w:rsidP="0064495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57AF" w:rsidRPr="002D092A" w:rsidRDefault="001857AF" w:rsidP="0064495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857AF" w:rsidRPr="002D092A" w:rsidRDefault="00B82546" w:rsidP="006449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>об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мерах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в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сфере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p w:rsidR="00EC59CA" w:rsidRPr="002D092A" w:rsidRDefault="00EC59CA" w:rsidP="0018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83"/>
        <w:gridCol w:w="2735"/>
        <w:gridCol w:w="2719"/>
        <w:gridCol w:w="2579"/>
        <w:gridCol w:w="4018"/>
        <w:gridCol w:w="3286"/>
      </w:tblGrid>
      <w:tr w:rsidR="00240C70" w:rsidRPr="002D092A" w:rsidTr="00352883">
        <w:tc>
          <w:tcPr>
            <w:tcW w:w="183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9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54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810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262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1033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нормативного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правового</w:t>
            </w:r>
            <w:r w:rsidR="00875582"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Cs/>
                <w:sz w:val="24"/>
                <w:szCs w:val="24"/>
              </w:rPr>
              <w:t>акта</w:t>
            </w:r>
          </w:p>
        </w:tc>
      </w:tr>
      <w:tr w:rsidR="00240C70" w:rsidRPr="002D092A" w:rsidTr="00352883">
        <w:tc>
          <w:tcPr>
            <w:tcW w:w="183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59CA" w:rsidRPr="002D092A" w:rsidTr="00352883">
        <w:tc>
          <w:tcPr>
            <w:tcW w:w="183" w:type="pct"/>
          </w:tcPr>
          <w:p w:rsidR="00EC59CA" w:rsidRPr="002D092A" w:rsidRDefault="00B82546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854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546" w:rsidRPr="002D0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</w:p>
        </w:tc>
        <w:tc>
          <w:tcPr>
            <w:tcW w:w="810" w:type="pct"/>
          </w:tcPr>
          <w:p w:rsidR="00EC59CA" w:rsidRPr="002D092A" w:rsidRDefault="00AB7063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3C" w:rsidRPr="002D092A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</w:tc>
        <w:tc>
          <w:tcPr>
            <w:tcW w:w="1262" w:type="pct"/>
          </w:tcPr>
          <w:p w:rsidR="00EC59CA" w:rsidRPr="002D092A" w:rsidRDefault="00EC59CA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нормативную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правовую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базу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033" w:type="pct"/>
          </w:tcPr>
          <w:p w:rsidR="00EC59CA" w:rsidRPr="002D092A" w:rsidRDefault="00B82546" w:rsidP="00B8254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875582" w:rsidRPr="002D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:rsidR="00EC59CA" w:rsidRPr="002D092A" w:rsidRDefault="00EC59CA" w:rsidP="0018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7AF" w:rsidRPr="002D092A" w:rsidRDefault="001857AF" w:rsidP="0018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t>_____________</w:t>
      </w:r>
    </w:p>
    <w:p w:rsidR="00644951" w:rsidRPr="002D092A" w:rsidRDefault="00644951" w:rsidP="0018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951" w:rsidRPr="002D092A" w:rsidRDefault="00644951" w:rsidP="0018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546" w:rsidRPr="002D092A" w:rsidRDefault="00B82546">
      <w:pPr>
        <w:rPr>
          <w:rFonts w:ascii="Times New Roman" w:hAnsi="Times New Roman" w:cs="Times New Roman"/>
          <w:sz w:val="24"/>
          <w:szCs w:val="24"/>
        </w:rPr>
      </w:pPr>
      <w:r w:rsidRPr="002D092A">
        <w:rPr>
          <w:rFonts w:ascii="Times New Roman" w:hAnsi="Times New Roman" w:cs="Times New Roman"/>
          <w:sz w:val="24"/>
          <w:szCs w:val="24"/>
        </w:rPr>
        <w:br w:type="page"/>
      </w:r>
    </w:p>
    <w:p w:rsidR="00BB14EB" w:rsidRPr="002D092A" w:rsidRDefault="00BB14EB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75582"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Cs/>
          <w:sz w:val="24"/>
          <w:szCs w:val="24"/>
        </w:rPr>
        <w:t>6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02.04.2024 № 182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9E022E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района 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05.09.2016 № 559</w:t>
      </w:r>
    </w:p>
    <w:p w:rsidR="009E022E" w:rsidRPr="002D092A" w:rsidRDefault="009E022E" w:rsidP="009E022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D0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Верхнебуреинском муниципальном районе Хабаровского края»</w:t>
      </w:r>
    </w:p>
    <w:p w:rsidR="00644951" w:rsidRPr="002D092A" w:rsidRDefault="00644951" w:rsidP="007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951" w:rsidRPr="002D092A" w:rsidRDefault="00644951" w:rsidP="006449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092A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644951" w:rsidRPr="002D092A" w:rsidRDefault="00D219F6" w:rsidP="006449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092A">
        <w:rPr>
          <w:rFonts w:ascii="Times New Roman" w:hAnsi="Times New Roman" w:cs="Times New Roman"/>
          <w:b w:val="0"/>
          <w:sz w:val="24"/>
          <w:szCs w:val="24"/>
        </w:rPr>
        <w:t>по</w:t>
      </w:r>
      <w:r w:rsidR="00875582" w:rsidRPr="002D0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 w:val="0"/>
          <w:sz w:val="24"/>
          <w:szCs w:val="24"/>
        </w:rPr>
        <w:t>объектам</w:t>
      </w:r>
      <w:r w:rsidR="00875582" w:rsidRPr="002D0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 w:val="0"/>
          <w:sz w:val="24"/>
          <w:szCs w:val="24"/>
        </w:rPr>
        <w:t>капитального</w:t>
      </w:r>
      <w:r w:rsidR="00875582" w:rsidRPr="002D0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875582" w:rsidRPr="002D0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875582" w:rsidRPr="002D0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092A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644951" w:rsidRPr="002D092A" w:rsidRDefault="00644951" w:rsidP="006449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784"/>
        <w:gridCol w:w="3242"/>
        <w:gridCol w:w="1892"/>
        <w:gridCol w:w="4681"/>
        <w:gridCol w:w="1984"/>
        <w:gridCol w:w="1506"/>
        <w:gridCol w:w="1831"/>
      </w:tblGrid>
      <w:tr w:rsidR="00240C70" w:rsidRPr="002D092A" w:rsidTr="009E022E">
        <w:trPr>
          <w:trHeight w:val="260"/>
        </w:trPr>
        <w:tc>
          <w:tcPr>
            <w:tcW w:w="246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8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</w:t>
            </w:r>
          </w:p>
        </w:tc>
        <w:tc>
          <w:tcPr>
            <w:tcW w:w="594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(ввода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эксплуатацию)</w:t>
            </w:r>
          </w:p>
        </w:tc>
        <w:tc>
          <w:tcPr>
            <w:tcW w:w="1470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исполнитель,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соисполнитель</w:t>
            </w:r>
          </w:p>
        </w:tc>
        <w:tc>
          <w:tcPr>
            <w:tcW w:w="623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проектно-сметной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документации</w:t>
            </w:r>
          </w:p>
        </w:tc>
        <w:tc>
          <w:tcPr>
            <w:tcW w:w="473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</w:t>
            </w:r>
          </w:p>
        </w:tc>
        <w:tc>
          <w:tcPr>
            <w:tcW w:w="575" w:type="pct"/>
            <w:vMerge w:val="restart"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Сметная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стоимость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текущих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ценах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(тыс.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рублей)</w:t>
            </w:r>
          </w:p>
        </w:tc>
      </w:tr>
      <w:tr w:rsidR="00240C70" w:rsidRPr="002D092A" w:rsidTr="009E022E">
        <w:trPr>
          <w:trHeight w:val="320"/>
        </w:trPr>
        <w:tc>
          <w:tcPr>
            <w:tcW w:w="246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70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4322A" w:rsidRPr="002D092A" w:rsidRDefault="0064322A" w:rsidP="00DB3808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0C70" w:rsidRPr="002D092A" w:rsidTr="009E022E">
        <w:tc>
          <w:tcPr>
            <w:tcW w:w="246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70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75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64322A" w:rsidRPr="002D092A" w:rsidTr="009E022E">
        <w:tc>
          <w:tcPr>
            <w:tcW w:w="246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018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Плавательный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бассейн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рп.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Чегдомын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Хабаровского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</w:t>
            </w:r>
          </w:p>
        </w:tc>
        <w:tc>
          <w:tcPr>
            <w:tcW w:w="594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2013-2018</w:t>
            </w:r>
          </w:p>
        </w:tc>
        <w:tc>
          <w:tcPr>
            <w:tcW w:w="1470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Верхнебуреинского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согласованию),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строительства,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культуры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Хабаровского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края</w:t>
            </w:r>
          </w:p>
        </w:tc>
        <w:tc>
          <w:tcPr>
            <w:tcW w:w="62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47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чел./в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смену</w:t>
            </w:r>
          </w:p>
        </w:tc>
        <w:tc>
          <w:tcPr>
            <w:tcW w:w="575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247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379,09</w:t>
            </w:r>
          </w:p>
        </w:tc>
      </w:tr>
    </w:tbl>
    <w:p w:rsidR="0064322A" w:rsidRPr="002D092A" w:rsidRDefault="0064322A" w:rsidP="009E022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726"/>
        <w:gridCol w:w="2442"/>
        <w:gridCol w:w="2748"/>
        <w:gridCol w:w="2289"/>
        <w:gridCol w:w="2442"/>
        <w:gridCol w:w="5273"/>
      </w:tblGrid>
      <w:tr w:rsidR="00240C70" w:rsidRPr="002D092A" w:rsidTr="0064322A">
        <w:tc>
          <w:tcPr>
            <w:tcW w:w="228" w:type="pct"/>
            <w:vMerge w:val="restar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pct"/>
            <w:gridSpan w:val="4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финансирования,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</w:tc>
        <w:tc>
          <w:tcPr>
            <w:tcW w:w="1656" w:type="pct"/>
            <w:vMerge w:val="restar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Непосредственный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(краткое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описание)</w:t>
            </w:r>
          </w:p>
        </w:tc>
      </w:tr>
      <w:tr w:rsidR="00240C70" w:rsidRPr="002D092A" w:rsidTr="0064322A">
        <w:tc>
          <w:tcPr>
            <w:tcW w:w="228" w:type="pct"/>
            <w:vMerge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7" w:type="pc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63" w:type="pc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719" w:type="pc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767" w:type="pct"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656" w:type="pct"/>
            <w:vMerge/>
          </w:tcPr>
          <w:p w:rsidR="0064322A" w:rsidRPr="002D092A" w:rsidRDefault="0064322A" w:rsidP="003D2189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40C70" w:rsidRPr="002D092A" w:rsidTr="0064322A">
        <w:tc>
          <w:tcPr>
            <w:tcW w:w="228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6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656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64322A" w:rsidRPr="002D092A" w:rsidTr="0064322A">
        <w:tc>
          <w:tcPr>
            <w:tcW w:w="228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67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174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058,713</w:t>
            </w:r>
          </w:p>
        </w:tc>
        <w:tc>
          <w:tcPr>
            <w:tcW w:w="863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719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148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000,006</w:t>
            </w:r>
          </w:p>
        </w:tc>
        <w:tc>
          <w:tcPr>
            <w:tcW w:w="767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058,707</w:t>
            </w:r>
          </w:p>
        </w:tc>
        <w:tc>
          <w:tcPr>
            <w:tcW w:w="1656" w:type="pct"/>
          </w:tcPr>
          <w:p w:rsidR="0064322A" w:rsidRPr="002D092A" w:rsidRDefault="0064322A" w:rsidP="0064322A">
            <w:pPr>
              <w:pStyle w:val="ConsPlusTitle"/>
              <w:spacing w:before="60"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числа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занимающихся</w:t>
            </w:r>
            <w:proofErr w:type="gramEnd"/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культурой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спортом,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обеспеченности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плавательными</w:t>
            </w:r>
            <w:r w:rsidR="00875582"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092A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бассейнами</w:t>
            </w:r>
          </w:p>
        </w:tc>
      </w:tr>
    </w:tbl>
    <w:p w:rsidR="00644951" w:rsidRPr="002D092A" w:rsidRDefault="00644951" w:rsidP="007A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951" w:rsidRPr="002D092A" w:rsidSect="002D092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11" w:rsidRDefault="00D36511" w:rsidP="00932225">
      <w:pPr>
        <w:spacing w:after="0" w:line="240" w:lineRule="auto"/>
      </w:pPr>
      <w:r>
        <w:separator/>
      </w:r>
    </w:p>
  </w:endnote>
  <w:endnote w:type="continuationSeparator" w:id="0">
    <w:p w:rsidR="00D36511" w:rsidRDefault="00D36511" w:rsidP="0093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11" w:rsidRDefault="00D36511" w:rsidP="00932225">
      <w:pPr>
        <w:spacing w:after="0" w:line="240" w:lineRule="auto"/>
      </w:pPr>
      <w:r>
        <w:separator/>
      </w:r>
    </w:p>
  </w:footnote>
  <w:footnote w:type="continuationSeparator" w:id="0">
    <w:p w:rsidR="00D36511" w:rsidRDefault="00D36511" w:rsidP="0093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0032"/>
      <w:docPartObj>
        <w:docPartGallery w:val="Page Numbers (Top of Page)"/>
        <w:docPartUnique/>
      </w:docPartObj>
    </w:sdtPr>
    <w:sdtContent>
      <w:p w:rsidR="009E022E" w:rsidRDefault="00E11BD5">
        <w:pPr>
          <w:pStyle w:val="a9"/>
          <w:jc w:val="center"/>
        </w:pPr>
        <w:fldSimple w:instr=" PAGE   \* MERGEFORMAT ">
          <w:r w:rsidR="002B254F">
            <w:rPr>
              <w:noProof/>
            </w:rPr>
            <w:t>52</w:t>
          </w:r>
        </w:fldSimple>
      </w:p>
    </w:sdtContent>
  </w:sdt>
  <w:p w:rsidR="009E022E" w:rsidRDefault="009E02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4DC"/>
    <w:multiLevelType w:val="multilevel"/>
    <w:tmpl w:val="019AE2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abstractNum w:abstractNumId="1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2">
    <w:nsid w:val="3AA208FC"/>
    <w:multiLevelType w:val="hybridMultilevel"/>
    <w:tmpl w:val="C158E26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1E1630"/>
    <w:multiLevelType w:val="hybridMultilevel"/>
    <w:tmpl w:val="4940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30964"/>
    <w:multiLevelType w:val="hybridMultilevel"/>
    <w:tmpl w:val="C2AE092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9666DE"/>
    <w:multiLevelType w:val="multilevel"/>
    <w:tmpl w:val="ECF889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6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5B07"/>
    <w:multiLevelType w:val="hybridMultilevel"/>
    <w:tmpl w:val="DEA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D7A"/>
    <w:rsid w:val="000138B7"/>
    <w:rsid w:val="00021376"/>
    <w:rsid w:val="00024EC8"/>
    <w:rsid w:val="000348EB"/>
    <w:rsid w:val="0003621F"/>
    <w:rsid w:val="00040FD2"/>
    <w:rsid w:val="0004649A"/>
    <w:rsid w:val="00046938"/>
    <w:rsid w:val="000679B3"/>
    <w:rsid w:val="00072428"/>
    <w:rsid w:val="000732A9"/>
    <w:rsid w:val="00073358"/>
    <w:rsid w:val="000B185A"/>
    <w:rsid w:val="000B19AD"/>
    <w:rsid w:val="000B50CB"/>
    <w:rsid w:val="000C770F"/>
    <w:rsid w:val="000E203F"/>
    <w:rsid w:val="00140C21"/>
    <w:rsid w:val="00176AF4"/>
    <w:rsid w:val="001771FA"/>
    <w:rsid w:val="00177BED"/>
    <w:rsid w:val="0018143A"/>
    <w:rsid w:val="001857AF"/>
    <w:rsid w:val="001872D8"/>
    <w:rsid w:val="001A2425"/>
    <w:rsid w:val="001C00EF"/>
    <w:rsid w:val="001C48A9"/>
    <w:rsid w:val="001C6624"/>
    <w:rsid w:val="001D1098"/>
    <w:rsid w:val="001D5DAE"/>
    <w:rsid w:val="001E3098"/>
    <w:rsid w:val="001E34F6"/>
    <w:rsid w:val="00202D9A"/>
    <w:rsid w:val="0020300E"/>
    <w:rsid w:val="002041EB"/>
    <w:rsid w:val="00223C30"/>
    <w:rsid w:val="00240C70"/>
    <w:rsid w:val="002458D6"/>
    <w:rsid w:val="00251EC1"/>
    <w:rsid w:val="0025602F"/>
    <w:rsid w:val="00276735"/>
    <w:rsid w:val="002833E8"/>
    <w:rsid w:val="00292128"/>
    <w:rsid w:val="002B254F"/>
    <w:rsid w:val="002B3E45"/>
    <w:rsid w:val="002B4FE9"/>
    <w:rsid w:val="002B6C30"/>
    <w:rsid w:val="002D092A"/>
    <w:rsid w:val="002D093D"/>
    <w:rsid w:val="002D2FC8"/>
    <w:rsid w:val="002E3ADC"/>
    <w:rsid w:val="002F4127"/>
    <w:rsid w:val="003006A9"/>
    <w:rsid w:val="00301AD3"/>
    <w:rsid w:val="003021AB"/>
    <w:rsid w:val="00306F3B"/>
    <w:rsid w:val="003132CB"/>
    <w:rsid w:val="00315853"/>
    <w:rsid w:val="00320021"/>
    <w:rsid w:val="00320DF5"/>
    <w:rsid w:val="00336194"/>
    <w:rsid w:val="00352883"/>
    <w:rsid w:val="003671E5"/>
    <w:rsid w:val="0036770B"/>
    <w:rsid w:val="0037341B"/>
    <w:rsid w:val="00395779"/>
    <w:rsid w:val="003A0184"/>
    <w:rsid w:val="003A55A3"/>
    <w:rsid w:val="003B6B26"/>
    <w:rsid w:val="003C19E5"/>
    <w:rsid w:val="003C2385"/>
    <w:rsid w:val="003D0A28"/>
    <w:rsid w:val="003D2189"/>
    <w:rsid w:val="003D4283"/>
    <w:rsid w:val="003D4959"/>
    <w:rsid w:val="003E5697"/>
    <w:rsid w:val="003F51A0"/>
    <w:rsid w:val="00405CA2"/>
    <w:rsid w:val="0042716E"/>
    <w:rsid w:val="00430625"/>
    <w:rsid w:val="0044680D"/>
    <w:rsid w:val="0044774D"/>
    <w:rsid w:val="004558FB"/>
    <w:rsid w:val="00466FD1"/>
    <w:rsid w:val="004765BC"/>
    <w:rsid w:val="00481CFC"/>
    <w:rsid w:val="004842A2"/>
    <w:rsid w:val="004A401C"/>
    <w:rsid w:val="004D1205"/>
    <w:rsid w:val="004D131C"/>
    <w:rsid w:val="004D2ECF"/>
    <w:rsid w:val="004D3BD7"/>
    <w:rsid w:val="004F6545"/>
    <w:rsid w:val="00507DDA"/>
    <w:rsid w:val="00512BE0"/>
    <w:rsid w:val="00531419"/>
    <w:rsid w:val="00533278"/>
    <w:rsid w:val="00533377"/>
    <w:rsid w:val="0053348D"/>
    <w:rsid w:val="0053585F"/>
    <w:rsid w:val="0053616E"/>
    <w:rsid w:val="005408C7"/>
    <w:rsid w:val="00540989"/>
    <w:rsid w:val="00542D08"/>
    <w:rsid w:val="0054723D"/>
    <w:rsid w:val="00592862"/>
    <w:rsid w:val="005A0D94"/>
    <w:rsid w:val="005B1600"/>
    <w:rsid w:val="005B3068"/>
    <w:rsid w:val="005B5328"/>
    <w:rsid w:val="005C1589"/>
    <w:rsid w:val="005C5294"/>
    <w:rsid w:val="005C66D4"/>
    <w:rsid w:val="005D5C2A"/>
    <w:rsid w:val="005D65FA"/>
    <w:rsid w:val="005F63A7"/>
    <w:rsid w:val="005F6964"/>
    <w:rsid w:val="00617A51"/>
    <w:rsid w:val="00622AFC"/>
    <w:rsid w:val="00631A7C"/>
    <w:rsid w:val="0064322A"/>
    <w:rsid w:val="00644951"/>
    <w:rsid w:val="00656743"/>
    <w:rsid w:val="00662D96"/>
    <w:rsid w:val="00665D9D"/>
    <w:rsid w:val="00676514"/>
    <w:rsid w:val="006B21D4"/>
    <w:rsid w:val="006C4B5D"/>
    <w:rsid w:val="006D7CC2"/>
    <w:rsid w:val="006E0B6A"/>
    <w:rsid w:val="006E15C7"/>
    <w:rsid w:val="006E4AEA"/>
    <w:rsid w:val="006F0B3B"/>
    <w:rsid w:val="0071322B"/>
    <w:rsid w:val="00717B0A"/>
    <w:rsid w:val="0072410F"/>
    <w:rsid w:val="00724358"/>
    <w:rsid w:val="007330C4"/>
    <w:rsid w:val="00733219"/>
    <w:rsid w:val="00735152"/>
    <w:rsid w:val="00736792"/>
    <w:rsid w:val="007737B3"/>
    <w:rsid w:val="007865CA"/>
    <w:rsid w:val="00790353"/>
    <w:rsid w:val="007A1025"/>
    <w:rsid w:val="007A6B23"/>
    <w:rsid w:val="007B29DD"/>
    <w:rsid w:val="007D5C2F"/>
    <w:rsid w:val="007D5F1D"/>
    <w:rsid w:val="0080219B"/>
    <w:rsid w:val="00821C5D"/>
    <w:rsid w:val="0082367F"/>
    <w:rsid w:val="00824452"/>
    <w:rsid w:val="00852F05"/>
    <w:rsid w:val="008541D8"/>
    <w:rsid w:val="00856292"/>
    <w:rsid w:val="00860843"/>
    <w:rsid w:val="0086715D"/>
    <w:rsid w:val="00875582"/>
    <w:rsid w:val="00880910"/>
    <w:rsid w:val="00882B9E"/>
    <w:rsid w:val="00886353"/>
    <w:rsid w:val="00890793"/>
    <w:rsid w:val="00890B96"/>
    <w:rsid w:val="008A2568"/>
    <w:rsid w:val="008C66D1"/>
    <w:rsid w:val="008D487C"/>
    <w:rsid w:val="00911664"/>
    <w:rsid w:val="00913D63"/>
    <w:rsid w:val="009146A4"/>
    <w:rsid w:val="00932225"/>
    <w:rsid w:val="009414BC"/>
    <w:rsid w:val="00953D54"/>
    <w:rsid w:val="00963248"/>
    <w:rsid w:val="009635DE"/>
    <w:rsid w:val="00966369"/>
    <w:rsid w:val="00972915"/>
    <w:rsid w:val="009A52BC"/>
    <w:rsid w:val="009C0BA9"/>
    <w:rsid w:val="009C5048"/>
    <w:rsid w:val="009D1A62"/>
    <w:rsid w:val="009D5692"/>
    <w:rsid w:val="009D7C09"/>
    <w:rsid w:val="009E022E"/>
    <w:rsid w:val="009E1907"/>
    <w:rsid w:val="00A005AC"/>
    <w:rsid w:val="00A13F59"/>
    <w:rsid w:val="00A41C0E"/>
    <w:rsid w:val="00A528A4"/>
    <w:rsid w:val="00A734F7"/>
    <w:rsid w:val="00A761DA"/>
    <w:rsid w:val="00A80C13"/>
    <w:rsid w:val="00A81C5E"/>
    <w:rsid w:val="00AA57BA"/>
    <w:rsid w:val="00AB6CFA"/>
    <w:rsid w:val="00AB7063"/>
    <w:rsid w:val="00AD634C"/>
    <w:rsid w:val="00AE72E9"/>
    <w:rsid w:val="00AE7C46"/>
    <w:rsid w:val="00AF513C"/>
    <w:rsid w:val="00AF7627"/>
    <w:rsid w:val="00AF7B5A"/>
    <w:rsid w:val="00B02B19"/>
    <w:rsid w:val="00B509E6"/>
    <w:rsid w:val="00B574BA"/>
    <w:rsid w:val="00B67D2A"/>
    <w:rsid w:val="00B71566"/>
    <w:rsid w:val="00B76096"/>
    <w:rsid w:val="00B82546"/>
    <w:rsid w:val="00B847A2"/>
    <w:rsid w:val="00B9782B"/>
    <w:rsid w:val="00BA59D6"/>
    <w:rsid w:val="00BB14EB"/>
    <w:rsid w:val="00BB4A22"/>
    <w:rsid w:val="00BC19B6"/>
    <w:rsid w:val="00BE2CD4"/>
    <w:rsid w:val="00C00500"/>
    <w:rsid w:val="00C052BB"/>
    <w:rsid w:val="00C07BE2"/>
    <w:rsid w:val="00C15B07"/>
    <w:rsid w:val="00C23D86"/>
    <w:rsid w:val="00C40E11"/>
    <w:rsid w:val="00C46D76"/>
    <w:rsid w:val="00C503ED"/>
    <w:rsid w:val="00C53457"/>
    <w:rsid w:val="00C5595F"/>
    <w:rsid w:val="00C63C8E"/>
    <w:rsid w:val="00C63EFE"/>
    <w:rsid w:val="00CA3034"/>
    <w:rsid w:val="00CA33F7"/>
    <w:rsid w:val="00CA4D7A"/>
    <w:rsid w:val="00CC43B0"/>
    <w:rsid w:val="00CC71E4"/>
    <w:rsid w:val="00CC727D"/>
    <w:rsid w:val="00CF0EFA"/>
    <w:rsid w:val="00CF1143"/>
    <w:rsid w:val="00CF2E13"/>
    <w:rsid w:val="00CF655F"/>
    <w:rsid w:val="00D048EF"/>
    <w:rsid w:val="00D055AA"/>
    <w:rsid w:val="00D06989"/>
    <w:rsid w:val="00D07810"/>
    <w:rsid w:val="00D118C3"/>
    <w:rsid w:val="00D219F6"/>
    <w:rsid w:val="00D36511"/>
    <w:rsid w:val="00D72B1F"/>
    <w:rsid w:val="00D73189"/>
    <w:rsid w:val="00D74155"/>
    <w:rsid w:val="00D82DE8"/>
    <w:rsid w:val="00D83DE2"/>
    <w:rsid w:val="00D965A5"/>
    <w:rsid w:val="00D96D46"/>
    <w:rsid w:val="00DA6E1B"/>
    <w:rsid w:val="00DB3808"/>
    <w:rsid w:val="00DC28A6"/>
    <w:rsid w:val="00DD0FBE"/>
    <w:rsid w:val="00DE6CF6"/>
    <w:rsid w:val="00E01B71"/>
    <w:rsid w:val="00E03C17"/>
    <w:rsid w:val="00E0481C"/>
    <w:rsid w:val="00E0533B"/>
    <w:rsid w:val="00E11BD5"/>
    <w:rsid w:val="00E1237F"/>
    <w:rsid w:val="00E23370"/>
    <w:rsid w:val="00E248B2"/>
    <w:rsid w:val="00E5266E"/>
    <w:rsid w:val="00E54229"/>
    <w:rsid w:val="00E54FF3"/>
    <w:rsid w:val="00E55D20"/>
    <w:rsid w:val="00E823CA"/>
    <w:rsid w:val="00EA0AC3"/>
    <w:rsid w:val="00EB411B"/>
    <w:rsid w:val="00EC59CA"/>
    <w:rsid w:val="00EC7BBD"/>
    <w:rsid w:val="00EE4165"/>
    <w:rsid w:val="00F02520"/>
    <w:rsid w:val="00F242D5"/>
    <w:rsid w:val="00F34A41"/>
    <w:rsid w:val="00F34DDA"/>
    <w:rsid w:val="00F35017"/>
    <w:rsid w:val="00F64981"/>
    <w:rsid w:val="00F761AB"/>
    <w:rsid w:val="00F82E6B"/>
    <w:rsid w:val="00FA63CB"/>
    <w:rsid w:val="00FB1169"/>
    <w:rsid w:val="00FB6C0D"/>
    <w:rsid w:val="00FC10A3"/>
    <w:rsid w:val="00FF1441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4D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CA4D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9A5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A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A52BC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662D96"/>
    <w:rPr>
      <w:rFonts w:ascii="Tahoma" w:hAnsi="Tahoma" w:cs="Tahoma"/>
      <w:sz w:val="24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62D96"/>
    <w:pPr>
      <w:spacing w:after="0" w:line="240" w:lineRule="auto"/>
    </w:pPr>
    <w:rPr>
      <w:rFonts w:ascii="Tahoma" w:hAnsi="Tahoma" w:cs="Tahoma"/>
      <w:sz w:val="24"/>
      <w:szCs w:val="16"/>
    </w:rPr>
  </w:style>
  <w:style w:type="paragraph" w:styleId="a6">
    <w:name w:val="Title"/>
    <w:basedOn w:val="a"/>
    <w:link w:val="a7"/>
    <w:qFormat/>
    <w:rsid w:val="00185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857AF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C23D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D86"/>
  </w:style>
  <w:style w:type="paragraph" w:styleId="ab">
    <w:name w:val="footer"/>
    <w:basedOn w:val="a"/>
    <w:link w:val="ac"/>
    <w:uiPriority w:val="99"/>
    <w:unhideWhenUsed/>
    <w:rsid w:val="00C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D86"/>
  </w:style>
  <w:style w:type="paragraph" w:styleId="ad">
    <w:name w:val="List Paragraph"/>
    <w:basedOn w:val="a"/>
    <w:uiPriority w:val="34"/>
    <w:qFormat/>
    <w:rsid w:val="00EC59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C59CA"/>
    <w:rPr>
      <w:rFonts w:ascii="Arial" w:eastAsia="Times New Roman" w:hAnsi="Arial" w:cs="Arial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662D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2D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2D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2D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2D9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40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0406C11A35418A5775853301280D85E7108E75CEA6126C9DBAA873234C50530C02E05B4377F43741CA05F1ODx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0406C11A35418A5775853301280D85E7108E75CEA6126C9DBAA873234C50530C02E05B4377F43741CA05F1ODx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525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378A-5236-413D-8C6F-2425C214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7891</TotalTime>
  <Pages>52</Pages>
  <Words>15584</Words>
  <Characters>88833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167</cp:revision>
  <cp:lastPrinted>2024-04-03T08:57:00Z</cp:lastPrinted>
  <dcterms:created xsi:type="dcterms:W3CDTF">2017-05-24T23:16:00Z</dcterms:created>
  <dcterms:modified xsi:type="dcterms:W3CDTF">2024-04-05T01:12:00Z</dcterms:modified>
</cp:coreProperties>
</file>