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52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</w:t>
      </w:r>
    </w:p>
    <w:p w:rsidR="00F65F52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F65F52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F65F52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31.05.2017  № 327</w:t>
      </w:r>
    </w:p>
    <w:p w:rsidR="00F65F52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65F52" w:rsidRPr="00B82781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65F52" w:rsidRPr="00B82781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8"/>
      <w:bookmarkEnd w:id="0"/>
      <w:r w:rsidRPr="00B82781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F65F52" w:rsidRPr="00B82781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B82781">
        <w:rPr>
          <w:rFonts w:ascii="Times New Roman" w:hAnsi="Times New Roman"/>
          <w:b/>
          <w:bCs/>
          <w:sz w:val="28"/>
          <w:szCs w:val="28"/>
        </w:rPr>
        <w:t>«ДОСТУПНАЯ СРЕДА» НА 2014 - 2020 ГОДЫ</w:t>
      </w:r>
    </w:p>
    <w:p w:rsidR="00F65F52" w:rsidRPr="00B82781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65F52" w:rsidRPr="00B82781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31"/>
      <w:bookmarkEnd w:id="1"/>
      <w:r w:rsidRPr="00B82781">
        <w:rPr>
          <w:rFonts w:ascii="Times New Roman" w:hAnsi="Times New Roman"/>
          <w:sz w:val="28"/>
          <w:szCs w:val="28"/>
        </w:rPr>
        <w:t>ПАСПОРТ</w:t>
      </w:r>
    </w:p>
    <w:p w:rsidR="00F65F52" w:rsidRPr="00B82781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82781">
        <w:rPr>
          <w:rFonts w:ascii="Times New Roman" w:hAnsi="Times New Roman"/>
          <w:sz w:val="28"/>
          <w:szCs w:val="28"/>
        </w:rPr>
        <w:t>муниципальной программы</w:t>
      </w:r>
    </w:p>
    <w:p w:rsidR="00F65F52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82781">
        <w:rPr>
          <w:rFonts w:ascii="Times New Roman" w:hAnsi="Times New Roman"/>
          <w:sz w:val="28"/>
          <w:szCs w:val="28"/>
        </w:rPr>
        <w:t>«Доступная среда» на 2014 - 2020 годы</w:t>
      </w:r>
    </w:p>
    <w:p w:rsidR="00F65F52" w:rsidRPr="00B82781" w:rsidRDefault="00F65F5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6200"/>
      </w:tblGrid>
      <w:tr w:rsidR="00F65F52" w:rsidRPr="00017F24" w:rsidTr="00B82781">
        <w:tc>
          <w:tcPr>
            <w:tcW w:w="3510" w:type="dxa"/>
          </w:tcPr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 xml:space="preserve">Основания </w:t>
            </w:r>
            <w:r>
              <w:t xml:space="preserve">для </w:t>
            </w:r>
            <w:r w:rsidRPr="00B82781">
              <w:t xml:space="preserve">разработки </w:t>
            </w:r>
            <w:r>
              <w:t>Муниципальной п</w:t>
            </w:r>
            <w:r w:rsidRPr="00B82781">
              <w:t>рограммы</w:t>
            </w:r>
          </w:p>
        </w:tc>
        <w:tc>
          <w:tcPr>
            <w:tcW w:w="6200" w:type="dxa"/>
          </w:tcPr>
          <w:p w:rsidR="00F65F52" w:rsidRPr="00017F24" w:rsidRDefault="00F65F52" w:rsidP="00393C95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F24">
              <w:rPr>
                <w:rFonts w:ascii="Times New Roman" w:hAnsi="Times New Roman"/>
                <w:bCs/>
                <w:sz w:val="28"/>
                <w:szCs w:val="28"/>
              </w:rPr>
              <w:t xml:space="preserve"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17F24">
                <w:rPr>
                  <w:rFonts w:ascii="Times New Roman" w:hAnsi="Times New Roman"/>
                  <w:bCs/>
                  <w:sz w:val="28"/>
                  <w:szCs w:val="28"/>
                </w:rPr>
                <w:t>2008 г</w:t>
              </w:r>
            </w:smartTag>
            <w:r w:rsidRPr="00017F24">
              <w:rPr>
                <w:rFonts w:ascii="Times New Roman" w:hAnsi="Times New Roman"/>
                <w:bCs/>
                <w:sz w:val="28"/>
                <w:szCs w:val="28"/>
              </w:rPr>
              <w:t>. № 1662-р;</w:t>
            </w:r>
          </w:p>
          <w:p w:rsidR="00F65F52" w:rsidRPr="00017F24" w:rsidRDefault="00F65F52" w:rsidP="00393C95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26.11.2012 № 1225 «О предоставлении субсидий из федерального бюджета на реализацию мероприятий государственной программы Российской Федерации «Доступная среда» на 2011 - 2015 годы</w:t>
            </w:r>
          </w:p>
          <w:p w:rsidR="00F65F52" w:rsidRPr="00017F24" w:rsidRDefault="00F65F52" w:rsidP="00393C95">
            <w:pPr>
              <w:autoSpaceDE w:val="0"/>
              <w:autoSpaceDN w:val="0"/>
              <w:adjustRightInd w:val="0"/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5F52" w:rsidRPr="00017F24" w:rsidRDefault="00F65F52" w:rsidP="00393C95">
            <w:pPr>
              <w:autoSpaceDE w:val="0"/>
              <w:autoSpaceDN w:val="0"/>
              <w:adjustRightInd w:val="0"/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>распоряжение Правительства РФ от 26.11.2012 № 2181-р «Об утверждении государственной программы Российской Федерации «Доступная среда» на 2011-2015 годы»</w:t>
            </w:r>
            <w:r w:rsidRPr="00017F2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r w:rsidRPr="00017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65F52" w:rsidRPr="00017F24" w:rsidRDefault="00F65F52" w:rsidP="00393C95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приказ Министерства труда и социальной защиты Российской Федерации от 06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17F24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017F24">
              <w:rPr>
                <w:rFonts w:ascii="Times New Roman" w:hAnsi="Times New Roman"/>
                <w:sz w:val="28"/>
                <w:szCs w:val="28"/>
              </w:rPr>
              <w:t>. № 575 «Об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населения»;</w:t>
            </w:r>
          </w:p>
          <w:p w:rsidR="00F65F52" w:rsidRPr="00017F24" w:rsidRDefault="00F65F52" w:rsidP="00393C95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приказ Министерства труда и социальной защиты Российской Федерации от 25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17F24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017F24">
              <w:rPr>
                <w:rFonts w:ascii="Times New Roman" w:hAnsi="Times New Roman"/>
                <w:sz w:val="28"/>
                <w:szCs w:val="28"/>
              </w:rPr>
              <w:t>. № 626 «Об утверждении методики формирования и обновления карт доступности объектов и услуг, отображающих сравниваемую информацию о доступности объектов и услуг для инвалидов и других маломобильных групп населения»;</w:t>
            </w:r>
          </w:p>
          <w:p w:rsidR="00F65F52" w:rsidRPr="00017F24" w:rsidRDefault="00F65F52" w:rsidP="00393C95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приказ Министерства труда и социальной защиты Российской Федерации от 25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17F24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017F24">
              <w:rPr>
                <w:rFonts w:ascii="Times New Roman" w:hAnsi="Times New Roman"/>
                <w:sz w:val="28"/>
                <w:szCs w:val="28"/>
              </w:rPr>
              <w:t>. № 627 «Об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населения, с возможностью учета региональной специфики»;</w:t>
            </w:r>
          </w:p>
          <w:p w:rsidR="00F65F52" w:rsidRPr="00017F24" w:rsidRDefault="00F65F52" w:rsidP="00393C95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приказ Министерства труда и социальной защиты Российской Федерации от 26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17F24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017F24">
              <w:rPr>
                <w:rFonts w:ascii="Times New Roman" w:hAnsi="Times New Roman"/>
                <w:sz w:val="28"/>
                <w:szCs w:val="28"/>
              </w:rPr>
              <w:t>. № 631н «Об утверждении распределения в 2013 году субсидий из федерального бюджета бюджетам субъектов Российской Федерации на софинансирование расходов на реализацию мероприятий, включенных в программы субъектов» Российской Федерации, разработанные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населения»;</w:t>
            </w:r>
          </w:p>
          <w:p w:rsidR="00F65F52" w:rsidRPr="00017F24" w:rsidRDefault="00F65F52" w:rsidP="00B82781">
            <w:pPr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приказ Министерства труда и социальной защиты Российской Федерации от 27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17F24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017F24">
              <w:rPr>
                <w:rFonts w:ascii="Times New Roman" w:hAnsi="Times New Roman"/>
                <w:sz w:val="28"/>
                <w:szCs w:val="28"/>
              </w:rPr>
              <w:t xml:space="preserve">. № 633н «О мерах по реализации постановления Правительства Российской Федерации от 26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17F24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017F24">
              <w:rPr>
                <w:rFonts w:ascii="Times New Roman" w:hAnsi="Times New Roman"/>
                <w:sz w:val="28"/>
                <w:szCs w:val="28"/>
              </w:rPr>
              <w:t>. № 1225»</w:t>
            </w:r>
          </w:p>
          <w:p w:rsidR="00F65F52" w:rsidRPr="00017F24" w:rsidRDefault="00F65F52" w:rsidP="00B82781">
            <w:pPr>
              <w:autoSpaceDE w:val="0"/>
              <w:autoSpaceDN w:val="0"/>
              <w:adjustRightInd w:val="0"/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постановление Правительства Хабаровского края от 13 января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017F24">
                <w:rPr>
                  <w:rFonts w:ascii="Times New Roman" w:hAnsi="Times New Roman"/>
                  <w:spacing w:val="-6"/>
                  <w:sz w:val="28"/>
                  <w:szCs w:val="28"/>
                </w:rPr>
                <w:t>2009 г</w:t>
              </w:r>
            </w:smartTag>
            <w:r w:rsidRPr="00017F24">
              <w:rPr>
                <w:rFonts w:ascii="Times New Roman" w:hAnsi="Times New Roman"/>
                <w:spacing w:val="-6"/>
                <w:sz w:val="28"/>
                <w:szCs w:val="28"/>
              </w:rPr>
              <w:t>. № 1-пр «О Стратегии социального и экономического развития Хабаровского края на период до 2025 года»</w:t>
            </w:r>
            <w:r w:rsidRPr="00017F2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F65F52" w:rsidRPr="00017F24" w:rsidRDefault="00F65F52" w:rsidP="00B82781">
            <w:pPr>
              <w:autoSpaceDE w:val="0"/>
              <w:autoSpaceDN w:val="0"/>
              <w:adjustRightInd w:val="0"/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 Правительства Хабаровского края от 31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17F24">
                <w:rPr>
                  <w:rFonts w:ascii="Times New Roman" w:hAnsi="Times New Roman"/>
                  <w:bCs/>
                  <w:sz w:val="28"/>
                  <w:szCs w:val="28"/>
                </w:rPr>
                <w:t>2012 г</w:t>
              </w:r>
            </w:smartTag>
            <w:r w:rsidRPr="00017F24">
              <w:rPr>
                <w:rFonts w:ascii="Times New Roman" w:hAnsi="Times New Roman"/>
                <w:bCs/>
                <w:sz w:val="28"/>
                <w:szCs w:val="28"/>
              </w:rPr>
              <w:t>. № 170-пр «О долгосрочной краевой целевой программе Хабаровского края "Доступная среда" на 2013 – 2015 годы»;</w:t>
            </w:r>
          </w:p>
          <w:p w:rsidR="00F65F52" w:rsidRPr="00017F24" w:rsidRDefault="00F65F52" w:rsidP="00B82781">
            <w:pPr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распоряжение Правительства Хабаровского края от 07 ноября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7F24">
                <w:rPr>
                  <w:rFonts w:ascii="Times New Roman" w:hAnsi="Times New Roman"/>
                  <w:sz w:val="28"/>
                  <w:szCs w:val="28"/>
                </w:rPr>
                <w:t>2011 г</w:t>
              </w:r>
            </w:smartTag>
            <w:r w:rsidRPr="00017F24">
              <w:rPr>
                <w:rFonts w:ascii="Times New Roman" w:hAnsi="Times New Roman"/>
                <w:sz w:val="28"/>
                <w:szCs w:val="28"/>
              </w:rPr>
              <w:t xml:space="preserve">. № 666-рп «О состоянии, перспективах социального обслуживания инвалидов, ветеранов и граждан пожилого возраста, формировании доступной среды для маломобильных групп населения в Хабаровском крае»; </w:t>
            </w:r>
          </w:p>
          <w:p w:rsidR="00F65F52" w:rsidRPr="00017F24" w:rsidRDefault="00F65F52" w:rsidP="00B82781">
            <w:pPr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F24">
              <w:rPr>
                <w:rFonts w:ascii="Times New Roman" w:hAnsi="Times New Roman"/>
                <w:bCs/>
                <w:sz w:val="28"/>
                <w:szCs w:val="28"/>
              </w:rPr>
              <w:t>другие нормативные правовые акты и организационно-распорядительные документы городского округа (муниципального района) о разработке Программы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 xml:space="preserve">Ответственный   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>
              <w:t>и</w:t>
            </w:r>
            <w:r w:rsidRPr="00B82781">
              <w:t xml:space="preserve">сполнитель </w:t>
            </w:r>
            <w:r>
              <w:t>Муниципальной п</w:t>
            </w:r>
            <w:r w:rsidRPr="00B82781">
              <w:t>рограммы</w:t>
            </w:r>
          </w:p>
        </w:tc>
        <w:tc>
          <w:tcPr>
            <w:tcW w:w="6200" w:type="dxa"/>
          </w:tcPr>
          <w:p w:rsidR="00F65F52" w:rsidRPr="00017F24" w:rsidRDefault="00F65F52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Отдел по спорту, туризму, молодежной и социальной политике администрации Верхнебуреинского муниципального района 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>Соисполнители, участники Муниципальной программы</w:t>
            </w:r>
          </w:p>
        </w:tc>
        <w:tc>
          <w:tcPr>
            <w:tcW w:w="6200" w:type="dxa"/>
          </w:tcPr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Администрации городских и сельских поселений района, управление образования администрации Верхнебуреинского муниципального района (далее по тексту – Управление образования), отдел культуры администрации Верхнебуреинского муниципального района (далее по тексту – Отдел культуры), муниципальное автономное учреждение «Редакция газеты «Рабочее слово» (по согласованию); КГКУ «Центр социальной поддержки населения по Верхнебуреинскому району» (по согласованию)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     </w:t>
            </w:r>
          </w:p>
        </w:tc>
        <w:tc>
          <w:tcPr>
            <w:tcW w:w="6200" w:type="dxa"/>
          </w:tcPr>
          <w:p w:rsidR="00F65F52" w:rsidRPr="00B82781" w:rsidRDefault="00F65F52" w:rsidP="009A1235">
            <w:pPr>
              <w:pStyle w:val="ConsPlusCell"/>
              <w:spacing w:line="240" w:lineRule="exact"/>
            </w:pPr>
            <w:r w:rsidRPr="00B82781">
              <w:t xml:space="preserve">Обеспечение беспрепятственного доступа (далее – доступность)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в Верхнебуреинском муниципальном районе 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00" w:type="dxa"/>
          </w:tcPr>
          <w:p w:rsidR="00F65F52" w:rsidRPr="00B82781" w:rsidRDefault="00F65F52" w:rsidP="009A1235">
            <w:pPr>
              <w:pStyle w:val="ConsPlusCell"/>
              <w:spacing w:line="240" w:lineRule="exact"/>
            </w:pPr>
            <w:r w:rsidRPr="00B82781">
              <w:t>- выявление существующих ограничений и барьеров, препятствующих доступности к объектам социальной, транспортной, образовательной, культурной и других инфраструктур;</w:t>
            </w:r>
          </w:p>
          <w:p w:rsidR="00F65F52" w:rsidRPr="00B82781" w:rsidRDefault="00F65F52" w:rsidP="009A1235">
            <w:pPr>
              <w:pStyle w:val="ConsPlusCell"/>
              <w:spacing w:line="240" w:lineRule="exact"/>
            </w:pPr>
            <w:r w:rsidRPr="00B82781">
              <w:t>- создание условий для формирования безбарьерной среды жизнедеятельности;</w:t>
            </w:r>
          </w:p>
          <w:p w:rsidR="00F65F52" w:rsidRPr="00B82781" w:rsidRDefault="00F65F52" w:rsidP="009A1235">
            <w:pPr>
              <w:pStyle w:val="ConsPlusCell"/>
              <w:spacing w:line="240" w:lineRule="exact"/>
            </w:pPr>
            <w:r w:rsidRPr="00B82781">
              <w:t>- привлечение общественного внимания к проблеме создания безбарьерной  среды и социальным проблемам инвалидов с помощью СМИ и комплекса социально – культурных мероприятий для устранения социальной разобщенности инвалидов и граждан, не являющихся инвалидами, развития толерантного отношения к людям с ограниченными возможностями.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>Перечень подпрограмм, реализуемых в рамках Муниципальной программы</w:t>
            </w:r>
          </w:p>
        </w:tc>
        <w:tc>
          <w:tcPr>
            <w:tcW w:w="6200" w:type="dxa"/>
          </w:tcPr>
          <w:p w:rsidR="00F65F52" w:rsidRPr="00B82781" w:rsidRDefault="00F65F52" w:rsidP="009A1235">
            <w:pPr>
              <w:pStyle w:val="ConsPlusCell"/>
              <w:spacing w:line="240" w:lineRule="exact"/>
            </w:pPr>
            <w:r w:rsidRPr="00C9270A">
              <w:t xml:space="preserve">- в рамках реализации Программы выполнение отдельных </w:t>
            </w:r>
            <w:r>
              <w:t>муниципальных</w:t>
            </w:r>
            <w:r w:rsidRPr="00C9270A">
              <w:t xml:space="preserve"> </w:t>
            </w:r>
            <w:r>
              <w:t>подпрограмм</w:t>
            </w:r>
            <w:r w:rsidRPr="00C9270A">
              <w:t xml:space="preserve"> не предусмотрено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Муниципальной программы      </w:t>
            </w:r>
          </w:p>
        </w:tc>
        <w:tc>
          <w:tcPr>
            <w:tcW w:w="6200" w:type="dxa"/>
          </w:tcPr>
          <w:p w:rsidR="00F65F52" w:rsidRDefault="00F65F52" w:rsidP="00B82781">
            <w:pPr>
              <w:pStyle w:val="ConsPlusCell"/>
              <w:spacing w:line="240" w:lineRule="exact"/>
            </w:pPr>
            <w:r>
              <w:t>1.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Нормативное правовое сопровождение формирования доступной среды для инвалидов и других маломобильных групп населения</w:t>
            </w:r>
            <w:r>
              <w:t>;</w:t>
            </w:r>
          </w:p>
          <w:p w:rsidR="00F65F52" w:rsidRDefault="00F65F52" w:rsidP="00B82781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>
              <w:t>2</w:t>
            </w:r>
            <w:r w:rsidRPr="00F6437E">
              <w:t>. Адаптация объектов транспортной инфраструктуры</w:t>
            </w:r>
            <w:r>
              <w:t>;</w:t>
            </w:r>
          </w:p>
          <w:p w:rsidR="00F65F52" w:rsidRDefault="00F65F52" w:rsidP="00B82781">
            <w:pPr>
              <w:pStyle w:val="ConsPlusCell"/>
              <w:spacing w:line="240" w:lineRule="exact"/>
            </w:pPr>
            <w:r>
              <w:t>3.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Адаптация объектов образования</w:t>
            </w:r>
            <w:r>
              <w:t>;</w:t>
            </w:r>
          </w:p>
          <w:p w:rsidR="00F65F52" w:rsidRDefault="00F65F52" w:rsidP="00B82781">
            <w:pPr>
              <w:pStyle w:val="ConsPlusCell"/>
              <w:spacing w:line="240" w:lineRule="exact"/>
            </w:pPr>
            <w:r>
              <w:t>4.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Адаптация объектов культуры</w:t>
            </w:r>
            <w:r>
              <w:t>;</w:t>
            </w:r>
          </w:p>
          <w:p w:rsidR="00F65F52" w:rsidRDefault="00F65F52" w:rsidP="00B82781">
            <w:pPr>
              <w:pStyle w:val="ConsPlusCell"/>
              <w:spacing w:line="240" w:lineRule="exact"/>
            </w:pPr>
            <w:r>
              <w:t>5.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Формирование толерантного отношения общества к людям с ограниченными возможностями</w:t>
            </w:r>
            <w:bookmarkStart w:id="2" w:name="_GoBack"/>
            <w:bookmarkEnd w:id="2"/>
          </w:p>
          <w:p w:rsidR="00F65F52" w:rsidRPr="00B82781" w:rsidRDefault="00F65F52" w:rsidP="00B82781">
            <w:pPr>
              <w:pStyle w:val="ConsPlusCell"/>
              <w:spacing w:line="240" w:lineRule="exact"/>
            </w:pP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653F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</w:tc>
        <w:tc>
          <w:tcPr>
            <w:tcW w:w="6200" w:type="dxa"/>
          </w:tcPr>
          <w:p w:rsidR="00F65F52" w:rsidRPr="00B82781" w:rsidRDefault="00F65F52" w:rsidP="009A1235">
            <w:pPr>
              <w:pStyle w:val="ConsPlusCell"/>
              <w:spacing w:line="240" w:lineRule="exact"/>
            </w:pPr>
            <w:r w:rsidRPr="00B82781">
              <w:t>- увеличение количества объектов социально-культурной инфраструктуры, образовательных учреждений, приспособленных для нужд граждан с ограниченными возможностями;</w:t>
            </w:r>
          </w:p>
          <w:p w:rsidR="00F65F52" w:rsidRPr="00B82781" w:rsidRDefault="00F65F52" w:rsidP="009A1235">
            <w:pPr>
              <w:pStyle w:val="ConsPlusCell"/>
              <w:spacing w:line="240" w:lineRule="exact"/>
            </w:pPr>
            <w:r w:rsidRPr="00B82781">
              <w:t>- рост уровня участия граждан с ограниченными возможностями в социально-культурных мероприятиях и программах;</w:t>
            </w:r>
          </w:p>
          <w:p w:rsidR="00F65F52" w:rsidRPr="00B82781" w:rsidRDefault="00F65F52" w:rsidP="009A1235">
            <w:pPr>
              <w:pStyle w:val="ConsPlusCell"/>
              <w:spacing w:line="240" w:lineRule="exact"/>
            </w:pPr>
            <w:r w:rsidRPr="00B82781">
              <w:t>- формирование толерантного отношения жителей муниципального района к инвалидам и маломобильным группам граждан.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200" w:type="dxa"/>
          </w:tcPr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- доля инвалидов положительно оценивающих уровень доступности приоритетных объектов и услуг в приоритетных сферах жизнедеятельности, в общей численности инвалидов в Верхнебуреинском муниципальном районе;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-доля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Верхнебуреинском муниципальном районе;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- 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культуры в Верхнебуреинском муниципальном районе;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-доля приоритетных объектов, доступных для инвалидов и других маломобильных групп населения в сфере образования, в общем количестве приоритетных объектов образования в Верхнебуреинском муниципальном районе;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-доля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Верхнебуреинском муниципальном районе.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 xml:space="preserve">Срок и этапы реализации муниципальной программы      </w:t>
            </w:r>
          </w:p>
        </w:tc>
        <w:tc>
          <w:tcPr>
            <w:tcW w:w="6200" w:type="dxa"/>
          </w:tcPr>
          <w:p w:rsidR="00F65F52" w:rsidRPr="00B82781" w:rsidRDefault="00F65F52" w:rsidP="00393C95">
            <w:pPr>
              <w:pStyle w:val="ConsPlusCell"/>
              <w:spacing w:line="240" w:lineRule="exact"/>
            </w:pPr>
            <w:r w:rsidRPr="00B82781">
              <w:t>Срок реализации: 2014 - 2020 годы</w:t>
            </w:r>
            <w:r>
              <w:t>.</w:t>
            </w:r>
            <w:r w:rsidRPr="00B82781">
              <w:t xml:space="preserve"> </w:t>
            </w:r>
            <w:r>
              <w:t>Э</w:t>
            </w:r>
            <w:r w:rsidRPr="00B82781">
              <w:t>тапы Программы не выделяются в связи с тем, что ежегодно предусматривается реализаци</w:t>
            </w:r>
            <w:r>
              <w:t>я</w:t>
            </w:r>
            <w:r w:rsidRPr="00B82781">
              <w:t xml:space="preserve"> взаимосвязанных комплексов мероприятий.</w:t>
            </w:r>
          </w:p>
        </w:tc>
      </w:tr>
      <w:tr w:rsidR="00F65F52" w:rsidRPr="00017F24" w:rsidTr="00B82781">
        <w:tc>
          <w:tcPr>
            <w:tcW w:w="3510" w:type="dxa"/>
          </w:tcPr>
          <w:p w:rsidR="00F65F52" w:rsidRPr="00017F24" w:rsidRDefault="00F65F52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17F24">
              <w:rPr>
                <w:rFonts w:ascii="Times New Roman" w:hAnsi="Times New Roman"/>
                <w:sz w:val="28"/>
                <w:szCs w:val="28"/>
              </w:rPr>
              <w:t>Ресурсное обеспечение реализации муниципальной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200" w:type="dxa"/>
          </w:tcPr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 xml:space="preserve">Общий объем финансирования реализации Программы составляет </w:t>
            </w:r>
            <w:r>
              <w:t>7</w:t>
            </w:r>
            <w:r w:rsidRPr="006B1DA9">
              <w:t>98,295</w:t>
            </w:r>
            <w:r w:rsidRPr="00B82781">
              <w:t xml:space="preserve"> тыс. рублей, из них: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 xml:space="preserve">- объем средств районного бюджета – </w:t>
            </w:r>
            <w:r>
              <w:t>698,295</w:t>
            </w:r>
            <w:r w:rsidRPr="00B82781">
              <w:t xml:space="preserve"> тыс. рублей, из них: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2014 году – 298,295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</w:t>
            </w:r>
            <w:r>
              <w:t>0</w:t>
            </w:r>
            <w:r w:rsidRPr="00B82781">
              <w:t>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2017 году – 100,000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2018 году – 100,000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2019 году – 100,000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2020 году – 100,000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- объем средств краевого бюджета (прогноз) – 1</w:t>
            </w:r>
            <w:r>
              <w:t>00</w:t>
            </w:r>
            <w:r w:rsidRPr="00B82781">
              <w:t>,000 тыс. рублей из них: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2014 году – 0,000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  <w:jc w:val="both"/>
            </w:pPr>
            <w:r w:rsidRPr="00B82781">
              <w:t>в 2017 году – 25,000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2018 году – 25,000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2019 году – 25,000 тыс. рублей;</w:t>
            </w:r>
          </w:p>
          <w:p w:rsidR="00F65F52" w:rsidRPr="00B82781" w:rsidRDefault="00F65F52" w:rsidP="00B82781">
            <w:pPr>
              <w:pStyle w:val="ConsPlusCell"/>
              <w:spacing w:line="240" w:lineRule="exact"/>
            </w:pPr>
            <w:r w:rsidRPr="00B82781">
              <w:t>в 2020 году – 25,000 тыс. рублей</w:t>
            </w:r>
          </w:p>
        </w:tc>
      </w:tr>
    </w:tbl>
    <w:p w:rsidR="00F65F52" w:rsidRDefault="00F65F52" w:rsidP="006B1DA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65F52" w:rsidRPr="00B82781" w:rsidRDefault="00F65F52" w:rsidP="006B1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F65F52" w:rsidRPr="00B82781" w:rsidSect="0024663A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F52" w:rsidRDefault="00F65F52">
      <w:r>
        <w:separator/>
      </w:r>
    </w:p>
  </w:endnote>
  <w:endnote w:type="continuationSeparator" w:id="0">
    <w:p w:rsidR="00F65F52" w:rsidRDefault="00F65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F52" w:rsidRDefault="00F65F52">
      <w:r>
        <w:separator/>
      </w:r>
    </w:p>
  </w:footnote>
  <w:footnote w:type="continuationSeparator" w:id="0">
    <w:p w:rsidR="00F65F52" w:rsidRDefault="00F65F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F52" w:rsidRDefault="00F65F52" w:rsidP="00E576F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5F52" w:rsidRDefault="00F65F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F52" w:rsidRDefault="00F65F52" w:rsidP="00E576F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F65F52" w:rsidRDefault="00F65F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781"/>
    <w:rsid w:val="00017F24"/>
    <w:rsid w:val="000A350C"/>
    <w:rsid w:val="001224C1"/>
    <w:rsid w:val="001740BB"/>
    <w:rsid w:val="001F391A"/>
    <w:rsid w:val="0024663A"/>
    <w:rsid w:val="00393C95"/>
    <w:rsid w:val="00575684"/>
    <w:rsid w:val="005B3218"/>
    <w:rsid w:val="00653F37"/>
    <w:rsid w:val="006B1DA9"/>
    <w:rsid w:val="006B7C72"/>
    <w:rsid w:val="00917597"/>
    <w:rsid w:val="009A1235"/>
    <w:rsid w:val="00A56590"/>
    <w:rsid w:val="00B82781"/>
    <w:rsid w:val="00B90A92"/>
    <w:rsid w:val="00C9270A"/>
    <w:rsid w:val="00E576FD"/>
    <w:rsid w:val="00EE6A87"/>
    <w:rsid w:val="00F6437E"/>
    <w:rsid w:val="00F65F52"/>
    <w:rsid w:val="00F87283"/>
    <w:rsid w:val="00FF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0B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82781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39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3C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466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24663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4</Pages>
  <Words>1257</Words>
  <Characters>7170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13</cp:revision>
  <cp:lastPrinted>2017-07-05T01:47:00Z</cp:lastPrinted>
  <dcterms:created xsi:type="dcterms:W3CDTF">2017-06-05T00:24:00Z</dcterms:created>
  <dcterms:modified xsi:type="dcterms:W3CDTF">2017-07-07T03:49:00Z</dcterms:modified>
</cp:coreProperties>
</file>