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21" w:rsidRPr="006D2D21" w:rsidRDefault="006D2D21" w:rsidP="006D2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D2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D2D21" w:rsidRPr="006D2D21" w:rsidRDefault="006D2D21" w:rsidP="006D2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D2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D2D21" w:rsidRPr="006D2D21" w:rsidRDefault="006D2D21" w:rsidP="006D2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D21" w:rsidRPr="006D2D21" w:rsidRDefault="006D2D21" w:rsidP="006D2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D21">
        <w:rPr>
          <w:rFonts w:ascii="Times New Roman" w:hAnsi="Times New Roman" w:cs="Times New Roman"/>
          <w:sz w:val="28"/>
          <w:szCs w:val="28"/>
        </w:rPr>
        <w:t>ПОСТНОВЛЕНИЕ</w:t>
      </w:r>
    </w:p>
    <w:p w:rsidR="006D2D21" w:rsidRPr="006D2D21" w:rsidRDefault="006D2D21" w:rsidP="006D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D21" w:rsidRPr="006D2D21" w:rsidRDefault="006D2D21" w:rsidP="006D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D21" w:rsidRPr="006D2D21" w:rsidRDefault="006D2D21" w:rsidP="006D2D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2D21">
        <w:rPr>
          <w:rFonts w:ascii="Times New Roman" w:hAnsi="Times New Roman" w:cs="Times New Roman"/>
          <w:sz w:val="28"/>
          <w:szCs w:val="28"/>
          <w:u w:val="single"/>
        </w:rPr>
        <w:t>30.05.2024 367</w:t>
      </w:r>
    </w:p>
    <w:p w:rsidR="006D2D21" w:rsidRPr="006D2D21" w:rsidRDefault="006D2D21" w:rsidP="006D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D21">
        <w:rPr>
          <w:rFonts w:ascii="Times New Roman" w:hAnsi="Times New Roman" w:cs="Times New Roman"/>
          <w:sz w:val="28"/>
          <w:szCs w:val="28"/>
        </w:rPr>
        <w:t>п. Чегдомын</w:t>
      </w:r>
    </w:p>
    <w:p w:rsidR="005A3222" w:rsidRDefault="005A3222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222" w:rsidRDefault="005A3222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Об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утверждении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Поэтапного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плана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мероприятий,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организуемых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рамках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ежегодной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комплексной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</w:t>
      </w:r>
    </w:p>
    <w:p w:rsidR="00ED678B" w:rsidRPr="00ED678B" w:rsidRDefault="00747139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индивидуально-профилактической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находящимися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трудной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жизненной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ситуации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проживающими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семьях,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находящихся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социально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опасном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положении,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Pr="00ED678B">
        <w:rPr>
          <w:rFonts w:ascii="Times New Roman" w:hAnsi="Times New Roman" w:cs="Times New Roman"/>
          <w:sz w:val="28"/>
          <w:szCs w:val="28"/>
        </w:rPr>
        <w:t>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исполнение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Губернатора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края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713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7139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№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ED678B">
        <w:rPr>
          <w:rFonts w:ascii="Times New Roman" w:hAnsi="Times New Roman" w:cs="Times New Roman"/>
          <w:sz w:val="28"/>
          <w:szCs w:val="28"/>
        </w:rPr>
        <w:t>-р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проведении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Хабаровском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крае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ежегодной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комплексной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края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Комиссии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делам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защите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прав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администрации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муниципального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района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организовать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провести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территории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10</w:t>
      </w:r>
      <w:r w:rsidR="00FB6C2E">
        <w:rPr>
          <w:rFonts w:ascii="Times New Roman" w:hAnsi="Times New Roman" w:cs="Times New Roman"/>
          <w:sz w:val="28"/>
          <w:szCs w:val="28"/>
        </w:rPr>
        <w:t xml:space="preserve"> мая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10</w:t>
      </w:r>
      <w:r w:rsidR="00FB6C2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ежегодную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межведомственную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комплексную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Утвердить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Поэтапный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план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мероприятий,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организуемых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рамках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ежегодной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комплексной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согласно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приложению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1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настоящему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78B">
        <w:rPr>
          <w:rFonts w:ascii="Times New Roman" w:hAnsi="Times New Roman" w:cs="Times New Roman"/>
          <w:sz w:val="28"/>
          <w:szCs w:val="28"/>
        </w:rPr>
        <w:t>Руководителям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структурных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подразделений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(далее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–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администрации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8702A">
        <w:rPr>
          <w:rFonts w:ascii="Times New Roman" w:hAnsi="Times New Roman" w:cs="Times New Roman"/>
          <w:sz w:val="28"/>
          <w:szCs w:val="28"/>
        </w:rPr>
        <w:t>)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(Митяшов</w:t>
      </w:r>
      <w:r w:rsidR="00747139">
        <w:rPr>
          <w:rFonts w:ascii="Times New Roman" w:hAnsi="Times New Roman" w:cs="Times New Roman"/>
          <w:sz w:val="28"/>
          <w:szCs w:val="28"/>
        </w:rPr>
        <w:t xml:space="preserve">а </w:t>
      </w:r>
      <w:r w:rsidRPr="00ED678B">
        <w:rPr>
          <w:rFonts w:ascii="Times New Roman" w:hAnsi="Times New Roman" w:cs="Times New Roman"/>
          <w:sz w:val="28"/>
          <w:szCs w:val="28"/>
        </w:rPr>
        <w:t>О.П.,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Дрюк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Н.Л.,</w:t>
      </w:r>
      <w:r w:rsidR="00747139">
        <w:rPr>
          <w:rFonts w:ascii="Times New Roman" w:hAnsi="Times New Roman" w:cs="Times New Roman"/>
          <w:sz w:val="28"/>
          <w:szCs w:val="28"/>
        </w:rPr>
        <w:t xml:space="preserve"> Зуев </w:t>
      </w:r>
      <w:r w:rsidRPr="00ED678B">
        <w:rPr>
          <w:rFonts w:ascii="Times New Roman" w:hAnsi="Times New Roman" w:cs="Times New Roman"/>
          <w:sz w:val="28"/>
          <w:szCs w:val="28"/>
        </w:rPr>
        <w:t>В.В.)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назначить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ответственных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выполнение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Поэтапного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плана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мероприятий,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организуемых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рамках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ежегодной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комплексной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также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завершению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обеспечить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предоставление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отчетов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аналитических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справок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до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20</w:t>
      </w:r>
      <w:r w:rsidR="00FB6C2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форме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согласно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приложению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2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настоящему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постановлению.</w:t>
      </w:r>
      <w:proofErr w:type="gramEnd"/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78B">
        <w:rPr>
          <w:rFonts w:ascii="Times New Roman" w:hAnsi="Times New Roman" w:cs="Times New Roman"/>
          <w:sz w:val="28"/>
          <w:szCs w:val="28"/>
        </w:rPr>
        <w:lastRenderedPageBreak/>
        <w:t>Рекомендовать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руководителям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органов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учреждений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системы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профилактики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безнадзорности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правонарушений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по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муниципальному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району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747139">
        <w:rPr>
          <w:rFonts w:ascii="Times New Roman" w:hAnsi="Times New Roman" w:cs="Times New Roman"/>
          <w:sz w:val="28"/>
          <w:szCs w:val="28"/>
        </w:rPr>
        <w:t xml:space="preserve"> (Игнатьев </w:t>
      </w:r>
      <w:r w:rsidRPr="00ED678B">
        <w:rPr>
          <w:rFonts w:ascii="Times New Roman" w:hAnsi="Times New Roman" w:cs="Times New Roman"/>
          <w:sz w:val="28"/>
          <w:szCs w:val="28"/>
        </w:rPr>
        <w:t>С.А.,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8B">
        <w:rPr>
          <w:rFonts w:ascii="Times New Roman" w:hAnsi="Times New Roman" w:cs="Times New Roman"/>
          <w:sz w:val="28"/>
          <w:szCs w:val="28"/>
        </w:rPr>
        <w:t>Волочаев</w:t>
      </w:r>
      <w:r w:rsidR="007471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Е.Ю.,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Павлинов</w:t>
      </w:r>
      <w:r w:rsidR="00747139">
        <w:rPr>
          <w:rFonts w:ascii="Times New Roman" w:hAnsi="Times New Roman" w:cs="Times New Roman"/>
          <w:sz w:val="28"/>
          <w:szCs w:val="28"/>
        </w:rPr>
        <w:t xml:space="preserve">а </w:t>
      </w:r>
      <w:r w:rsidRPr="00ED678B">
        <w:rPr>
          <w:rFonts w:ascii="Times New Roman" w:hAnsi="Times New Roman" w:cs="Times New Roman"/>
          <w:sz w:val="28"/>
          <w:szCs w:val="28"/>
        </w:rPr>
        <w:t>Е.Ю.,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8B">
        <w:rPr>
          <w:rFonts w:ascii="Times New Roman" w:hAnsi="Times New Roman" w:cs="Times New Roman"/>
          <w:sz w:val="28"/>
          <w:szCs w:val="28"/>
        </w:rPr>
        <w:t>Комелев</w:t>
      </w:r>
      <w:r w:rsidR="007471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О.А.,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8B">
        <w:rPr>
          <w:rFonts w:ascii="Times New Roman" w:hAnsi="Times New Roman" w:cs="Times New Roman"/>
          <w:sz w:val="28"/>
          <w:szCs w:val="28"/>
        </w:rPr>
        <w:t>Шурупов</w:t>
      </w:r>
      <w:r w:rsidR="007471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47139">
        <w:rPr>
          <w:rFonts w:ascii="Times New Roman" w:hAnsi="Times New Roman" w:cs="Times New Roman"/>
          <w:sz w:val="28"/>
          <w:szCs w:val="28"/>
        </w:rPr>
        <w:t> </w:t>
      </w:r>
      <w:r w:rsidRPr="00ED678B">
        <w:rPr>
          <w:rFonts w:ascii="Times New Roman" w:hAnsi="Times New Roman" w:cs="Times New Roman"/>
          <w:sz w:val="28"/>
          <w:szCs w:val="28"/>
        </w:rPr>
        <w:t>О.В.,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Востриков</w:t>
      </w:r>
      <w:r w:rsidR="00747139">
        <w:rPr>
          <w:rFonts w:ascii="Times New Roman" w:hAnsi="Times New Roman" w:cs="Times New Roman"/>
          <w:sz w:val="28"/>
          <w:szCs w:val="28"/>
        </w:rPr>
        <w:t xml:space="preserve">а </w:t>
      </w:r>
      <w:r w:rsidRPr="00ED678B">
        <w:rPr>
          <w:rFonts w:ascii="Times New Roman" w:hAnsi="Times New Roman" w:cs="Times New Roman"/>
          <w:sz w:val="28"/>
          <w:szCs w:val="28"/>
        </w:rPr>
        <w:t>М.В.,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Лиханов</w:t>
      </w:r>
      <w:r w:rsidR="00747139">
        <w:rPr>
          <w:rFonts w:ascii="Times New Roman" w:hAnsi="Times New Roman" w:cs="Times New Roman"/>
          <w:sz w:val="28"/>
          <w:szCs w:val="28"/>
        </w:rPr>
        <w:t xml:space="preserve">а </w:t>
      </w:r>
      <w:r w:rsidRPr="00ED678B">
        <w:rPr>
          <w:rFonts w:ascii="Times New Roman" w:hAnsi="Times New Roman" w:cs="Times New Roman"/>
          <w:sz w:val="28"/>
          <w:szCs w:val="28"/>
        </w:rPr>
        <w:t>Т.В.,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8B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М.В.)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назначить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ответственных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выполнение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Поэтапного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плана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мероприятий,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организуемых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рамках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ежегодной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комплексной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также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завершению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обеспечить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предоставление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отчетов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аналитических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справок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до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20</w:t>
      </w:r>
      <w:r w:rsidR="00FB6C2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форме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согласно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приложению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2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настоящему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D678B" w:rsidRPr="00ED678B" w:rsidRDefault="00ED678B" w:rsidP="00FA43EA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Рекомендовать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главам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поселений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разработать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мероприятия,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обеспечивающие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профилактику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правонарушений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среди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период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проведения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территории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района,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предусмотреть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средства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их</w:t>
      </w:r>
      <w:r w:rsidR="00747139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проведение.</w:t>
      </w:r>
    </w:p>
    <w:p w:rsidR="00FA43EA" w:rsidRDefault="00FA43EA" w:rsidP="00FA43E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D678B" w:rsidRPr="00FA43EA">
        <w:rPr>
          <w:rFonts w:ascii="Times New Roman" w:hAnsi="Times New Roman" w:cs="Times New Roman"/>
          <w:sz w:val="28"/>
          <w:szCs w:val="28"/>
        </w:rPr>
        <w:t>Контроль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исполнением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настоящего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постановления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возложить</w:t>
      </w:r>
      <w:r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заместителя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главы</w:t>
      </w:r>
      <w:r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Верхнебуреинского муниципального района Хабаровского края</w:t>
      </w:r>
      <w:r w:rsidRPr="002441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Гермаш</w:t>
      </w:r>
      <w:r w:rsidRPr="00DB724A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Т.С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78B" w:rsidRPr="00FA43EA" w:rsidRDefault="00FA43EA" w:rsidP="00FA43EA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D678B" w:rsidRPr="00FA43EA">
        <w:rPr>
          <w:rFonts w:ascii="Times New Roman" w:hAnsi="Times New Roman" w:cs="Times New Roman"/>
          <w:sz w:val="28"/>
          <w:szCs w:val="28"/>
        </w:rPr>
        <w:t>Настоящее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постановление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вступает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в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силу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после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его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официального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опубликования</w:t>
      </w:r>
      <w:r w:rsidR="00747139" w:rsidRPr="00FA43EA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FA43E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Pr="00ED678B" w:rsidRDefault="00030D5C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43EA" w:rsidRDefault="00FA43EA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Pr="00ED678B" w:rsidRDefault="00747139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74713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>УТВЕРЖДЕН</w:t>
      </w: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47139" w:rsidRPr="00BB49D9" w:rsidRDefault="0074713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ED678B" w:rsidRPr="00BB49D9" w:rsidRDefault="00181C36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31.05.2024 № 307</w:t>
      </w:r>
    </w:p>
    <w:p w:rsidR="00ED678B" w:rsidRPr="00BB49D9" w:rsidRDefault="00ED678B" w:rsidP="00BB49D9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>Поэтапный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план</w:t>
      </w:r>
    </w:p>
    <w:p w:rsidR="00ED678B" w:rsidRPr="00BB49D9" w:rsidRDefault="00ED678B" w:rsidP="00BB49D9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49D9">
        <w:rPr>
          <w:rFonts w:ascii="Times New Roman" w:hAnsi="Times New Roman" w:cs="Times New Roman"/>
          <w:sz w:val="24"/>
          <w:szCs w:val="24"/>
        </w:rPr>
        <w:t>мероприятий,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организуемых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в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рамках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ежегодной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комплексной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профилактической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операции</w:t>
      </w:r>
      <w:r w:rsidR="00747139" w:rsidRPr="00BB49D9">
        <w:rPr>
          <w:rFonts w:ascii="Times New Roman" w:hAnsi="Times New Roman" w:cs="Times New Roman"/>
          <w:sz w:val="24"/>
          <w:szCs w:val="24"/>
        </w:rPr>
        <w:t xml:space="preserve"> </w:t>
      </w:r>
      <w:r w:rsidRPr="00BB49D9">
        <w:rPr>
          <w:rFonts w:ascii="Times New Roman" w:hAnsi="Times New Roman" w:cs="Times New Roman"/>
          <w:sz w:val="24"/>
          <w:szCs w:val="24"/>
        </w:rPr>
        <w:t>«Подросток»</w:t>
      </w:r>
    </w:p>
    <w:p w:rsidR="00ED678B" w:rsidRPr="00BB49D9" w:rsidRDefault="00ED678B" w:rsidP="00BB49D9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678B" w:rsidRPr="00BB49D9" w:rsidRDefault="00ED678B" w:rsidP="00BB49D9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731"/>
        <w:gridCol w:w="1502"/>
        <w:gridCol w:w="2329"/>
        <w:gridCol w:w="2324"/>
      </w:tblGrid>
      <w:tr w:rsidR="00ED678B" w:rsidRPr="00BB49D9" w:rsidTr="00BB4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этапа/мероприятия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привлекаемые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</w:p>
        </w:tc>
      </w:tr>
    </w:tbl>
    <w:p w:rsidR="00BB49D9" w:rsidRPr="00BB49D9" w:rsidRDefault="00BB49D9" w:rsidP="00BB49D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86"/>
        <w:gridCol w:w="1458"/>
        <w:gridCol w:w="2394"/>
        <w:gridCol w:w="2394"/>
      </w:tblGrid>
      <w:tr w:rsidR="00ED678B" w:rsidRPr="00BB49D9" w:rsidTr="00BB49D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78B" w:rsidRPr="00BB49D9" w:rsidTr="00BB4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подростка»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занятости,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профилактическом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4A1"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4A1" w:rsidRPr="00BB49D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ED678B" w:rsidRPr="00BB49D9" w:rsidRDefault="0078702A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горно-технологический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3744A1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796C2E" w:rsidRPr="00BB49D9" w:rsidTr="00BB49D9">
        <w:trPr>
          <w:trHeight w:val="13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«Подросток-игла»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-выявление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пресечение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наркотических,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одурманивающих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алкогольных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напитков,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пива;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-привлечение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алкогольных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напитков,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пива,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табачных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одурманивающих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веществ;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-оказание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своевременной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несовершеннолетним;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-выявление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спиртных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напитков,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пива,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табачных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-пропаганда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горно-технологический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«Верхнебуреинская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796C2E" w:rsidRPr="00BB49D9" w:rsidRDefault="00796C2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ED678B" w:rsidRPr="00BB49D9" w:rsidTr="00BB4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«Подросток-контингент»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-активизация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осужденных,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освободившихся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вернувшихся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закрытого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горно-технологический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ED678B" w:rsidRPr="00BB49D9" w:rsidTr="00BB4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«Подросток-семья»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-выявление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-пресечение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ненадлежащего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семьях,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осуждены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отсрочки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отбывания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наказания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горно-технологический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«Верхнебуреинская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ED678B" w:rsidRPr="00BB49D9" w:rsidTr="00BB4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«Подросток-досуг»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профилактическом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учете;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учете,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культурно-массовые,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безнадзорных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несовершеннолетних;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-вовлечение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положении,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кружках,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секциях,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клубах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2A"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горно-технологический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району»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КГБУ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«Чегдомынский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ED678B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8B"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ED678B" w:rsidRPr="00BB49D9" w:rsidTr="00BB4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D" w:rsidRPr="00BB49D9" w:rsidRDefault="00DC01BD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21" w:rsidRPr="00BB49D9" w:rsidRDefault="00E86121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D" w:rsidRPr="00BB49D9" w:rsidRDefault="00DC01BD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выступлений,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освещению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D" w:rsidRPr="00BB49D9" w:rsidRDefault="00DC01BD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безнадзорности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антиобщественных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безнадзорности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BD" w:rsidRPr="00BB49D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21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121"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121" w:rsidRPr="00BB49D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21" w:rsidRPr="00BB49D9" w:rsidRDefault="00E86121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«Подросток»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D" w:rsidRPr="00BB49D9" w:rsidRDefault="00DC01BD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D" w:rsidRPr="00BB49D9" w:rsidRDefault="00DC01BD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121"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121" w:rsidRPr="00BB49D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21" w:rsidRPr="00BB49D9" w:rsidRDefault="00E86121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47139" w:rsidRPr="00BB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ED678B" w:rsidRPr="00BB49D9" w:rsidRDefault="00ED678B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78B" w:rsidRPr="003744A1" w:rsidRDefault="00ED678B" w:rsidP="00E861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678B" w:rsidRPr="003744A1" w:rsidRDefault="00ED678B" w:rsidP="00E861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678B" w:rsidRPr="003744A1" w:rsidRDefault="00ED678B" w:rsidP="00E8612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9D9" w:rsidRDefault="00BB49D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9D9" w:rsidRDefault="00BB49D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19" w:rsidRDefault="00DA6219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9D9" w:rsidRPr="00ED678B" w:rsidRDefault="00BB49D9" w:rsidP="00BB49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2</w:t>
      </w:r>
    </w:p>
    <w:p w:rsidR="00BB49D9" w:rsidRDefault="00BB49D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B49D9" w:rsidRDefault="00BB49D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D9" w:rsidRDefault="00BB49D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BB49D9" w:rsidRDefault="00BB49D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49D9" w:rsidRDefault="00BB49D9" w:rsidP="00BB49D9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96C2E" w:rsidRDefault="00BB49D9" w:rsidP="00BB49D9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BB49D9" w:rsidRDefault="00BB49D9" w:rsidP="00E8612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78B" w:rsidRPr="00ED678B" w:rsidRDefault="00796C2E" w:rsidP="00E8612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47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96C2E" w:rsidRDefault="00796C2E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6C2E" w:rsidRDefault="00796C2E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678B" w:rsidRPr="00ED678B" w:rsidRDefault="00ED678B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</w:t>
      </w:r>
    </w:p>
    <w:p w:rsidR="00ED678B" w:rsidRPr="00ED678B" w:rsidRDefault="00ED678B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итогах</w:t>
      </w:r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ежегодной</w:t>
      </w:r>
      <w:proofErr w:type="gramEnd"/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краевой</w:t>
      </w:r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межведомственной</w:t>
      </w:r>
    </w:p>
    <w:p w:rsidR="00ED678B" w:rsidRPr="00ED678B" w:rsidRDefault="00ED678B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комплексной</w:t>
      </w:r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профилактической</w:t>
      </w:r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операции</w:t>
      </w:r>
      <w:r w:rsidR="007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«Подросток»</w:t>
      </w: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59"/>
        <w:gridCol w:w="1633"/>
        <w:gridCol w:w="5169"/>
        <w:gridCol w:w="833"/>
        <w:gridCol w:w="776"/>
      </w:tblGrid>
      <w:tr w:rsidR="00DA6219" w:rsidRPr="00BB49D9" w:rsidTr="00BB49D9">
        <w:trPr>
          <w:trHeight w:val="1034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47139" w:rsidRPr="00BB49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9D9"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 w:rsidRPr="00BB49D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DA6219" w:rsidRPr="00BB49D9" w:rsidTr="00BB49D9">
        <w:trPr>
          <w:trHeight w:val="311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457DE" w:rsidRPr="00BB49D9" w:rsidTr="00BB49D9">
        <w:trPr>
          <w:trHeight w:val="311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B49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Подготовительный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</w:t>
            </w:r>
          </w:p>
          <w:p w:rsidR="00B457DE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A6219" w:rsidRPr="00BB49D9" w:rsidTr="00BB49D9">
        <w:trPr>
          <w:trHeight w:val="370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межведомственной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мая)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работающие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занятые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7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4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1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воздействии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социально-правовой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BB49D9" w:rsidTr="00BB49D9">
        <w:trPr>
          <w:trHeight w:val="622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употребления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несовершеннолетними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алкогольной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спиртосодержащей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продукции,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новых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потенциально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опасных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психоактивных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веществ,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одурманивающих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веществ,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табака,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никотиносодержащей</w:t>
            </w:r>
            <w:proofErr w:type="spellEnd"/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продукции,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наркотических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психотропных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веществ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аналогов</w:t>
            </w: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proofErr w:type="gramEnd"/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"Подросток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игла",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(дискотеки,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лоны,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т.д.)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табачных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вблизи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месту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жительства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(или)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преступления,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незаконным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оборотом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наркотиков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4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(составлено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правонарушениях):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11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табачных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474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табачных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415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63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2.2.3.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наркотических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психотропных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одурманивающих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70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70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92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2.2.4.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профилактических</w:t>
            </w:r>
            <w:proofErr w:type="gramEnd"/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пропаганду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18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состоящих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учёта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BB49D9" w:rsidTr="00BB49D9">
        <w:trPr>
          <w:trHeight w:val="91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796C2E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совершения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правонарушений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несовершеннолетними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категории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условно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осужденных,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освободившихся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уголовно-исполнительной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системы,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вернувшихся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специальных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закрытого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типа</w:t>
            </w:r>
          </w:p>
        </w:tc>
      </w:tr>
      <w:tr w:rsidR="00DA6219" w:rsidRPr="00BB49D9" w:rsidTr="00BB49D9">
        <w:trPr>
          <w:trHeight w:val="533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Состоит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мая),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83719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числе: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55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мерам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наказания</w:t>
            </w:r>
            <w:r w:rsidR="0083719E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связанным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лишением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свободы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категориям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работам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исправительным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работам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ограничению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свободы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подозреваемых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(обвиняемых),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пресечения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ареста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уголовно-исполнительной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gramEnd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41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вернувшихся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учебно-воспитательных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типа</w:t>
            </w:r>
            <w:proofErr w:type="gramEnd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17AC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7AC" w:rsidRPr="00BB49D9" w:rsidRDefault="006E17AC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7AC" w:rsidRPr="00BB49D9" w:rsidRDefault="006E17AC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«Подросток»:</w:t>
            </w: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направлены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поставлены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занятость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474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"Подросток-контингент",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вечернее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26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BB49D9" w:rsidTr="00BB49D9">
        <w:trPr>
          <w:trHeight w:val="311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796C2E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семейного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неблагополучия</w:t>
            </w:r>
          </w:p>
        </w:tc>
      </w:tr>
      <w:tr w:rsidR="00DA6219" w:rsidRPr="00BB49D9" w:rsidTr="00BB49D9">
        <w:trPr>
          <w:trHeight w:val="518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proofErr w:type="gramEnd"/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"Подросток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семья",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55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месту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жительства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489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месту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жительства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отсрочку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отбывания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наказания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81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связанных: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жестоким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сексуальным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насилием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началу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ненадлежащего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обязанностей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нарушений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числе: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785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4.3.1.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специализированные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реабилитации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15.10.2013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7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4.3.2.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отобрано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угрозой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здоровью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(ст.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Кодекса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55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4.3.3.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7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протоколов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Хабаровского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23.12.2009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BB49D9" w:rsidTr="00BB49D9">
        <w:trPr>
          <w:trHeight w:val="311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796C2E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досуга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занятости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несовершеннолетних</w:t>
            </w:r>
          </w:p>
        </w:tc>
      </w:tr>
      <w:tr w:rsidR="00DA6219" w:rsidRPr="00BB49D9" w:rsidTr="00BB49D9">
        <w:trPr>
          <w:trHeight w:val="311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5.1.1.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охвачено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оздоровления,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лагерях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круглосуточным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пребыванием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лагерях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дневным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пребыванием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санаторного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96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клубах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интересам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355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5.2.1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трудоустроено,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населения: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4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культурно-массовых</w:t>
            </w:r>
            <w:proofErr w:type="gramEnd"/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физкультурно-спортивных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4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преступлений,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18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совершенных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  <w:r w:rsid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основаниям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самовольный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самовольный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оставшихся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попечения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самовольный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BB49D9" w:rsidTr="00BB49D9">
        <w:trPr>
          <w:trHeight w:val="311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96C2E" w:rsidRPr="00BB49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BB49D9" w:rsidRDefault="00B457DE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Заключительный</w:t>
            </w:r>
            <w:r w:rsidR="00747139"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</w:t>
            </w: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04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освещению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7AC" w:rsidRPr="00BB49D9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59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BB49D9" w:rsidRDefault="006E17AC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47139"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телевидении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радиоэфире</w:t>
            </w:r>
            <w:proofErr w:type="spellEnd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печатных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изданиях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252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BB49D9" w:rsidTr="00BB49D9">
        <w:trPr>
          <w:trHeight w:val="489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="00BB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D9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747139" w:rsidRPr="00BB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E8" w:rsidRPr="00BB49D9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BB49D9" w:rsidRDefault="0074713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BB49D9" w:rsidRDefault="00DA6219" w:rsidP="00BB49D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1AC" w:rsidRDefault="00F801AC" w:rsidP="00BB4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49D9" w:rsidRPr="00ED678B" w:rsidRDefault="00BB49D9" w:rsidP="00BB4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BB49D9" w:rsidRPr="00ED678B" w:rsidSect="00BB49D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3D" w:rsidRDefault="00E55A3D" w:rsidP="00BB49D9">
      <w:pPr>
        <w:spacing w:after="0" w:line="240" w:lineRule="auto"/>
      </w:pPr>
      <w:r>
        <w:separator/>
      </w:r>
    </w:p>
  </w:endnote>
  <w:endnote w:type="continuationSeparator" w:id="0">
    <w:p w:rsidR="00E55A3D" w:rsidRDefault="00E55A3D" w:rsidP="00BB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3D" w:rsidRDefault="00E55A3D" w:rsidP="00BB49D9">
      <w:pPr>
        <w:spacing w:after="0" w:line="240" w:lineRule="auto"/>
      </w:pPr>
      <w:r>
        <w:separator/>
      </w:r>
    </w:p>
  </w:footnote>
  <w:footnote w:type="continuationSeparator" w:id="0">
    <w:p w:rsidR="00E55A3D" w:rsidRDefault="00E55A3D" w:rsidP="00BB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2126"/>
      <w:docPartObj>
        <w:docPartGallery w:val="Page Numbers (Top of Page)"/>
        <w:docPartUnique/>
      </w:docPartObj>
    </w:sdtPr>
    <w:sdtContent>
      <w:p w:rsidR="00FB6C2E" w:rsidRDefault="00BD20E0">
        <w:pPr>
          <w:pStyle w:val="a6"/>
          <w:jc w:val="center"/>
        </w:pPr>
        <w:fldSimple w:instr=" PAGE   \* MERGEFORMAT ">
          <w:r w:rsidR="00181C36">
            <w:rPr>
              <w:noProof/>
            </w:rPr>
            <w:t>3</w:t>
          </w:r>
        </w:fldSimple>
      </w:p>
    </w:sdtContent>
  </w:sdt>
  <w:p w:rsidR="00FB6C2E" w:rsidRDefault="00FB6C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41B"/>
    <w:multiLevelType w:val="hybridMultilevel"/>
    <w:tmpl w:val="6D46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1FCB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093"/>
    <w:rsid w:val="00030D5C"/>
    <w:rsid w:val="00181C36"/>
    <w:rsid w:val="001E5B27"/>
    <w:rsid w:val="0027088A"/>
    <w:rsid w:val="003744A1"/>
    <w:rsid w:val="004176DB"/>
    <w:rsid w:val="0053350D"/>
    <w:rsid w:val="005A3222"/>
    <w:rsid w:val="006D2D21"/>
    <w:rsid w:val="006E17AC"/>
    <w:rsid w:val="00747139"/>
    <w:rsid w:val="00753093"/>
    <w:rsid w:val="0078702A"/>
    <w:rsid w:val="00796C2E"/>
    <w:rsid w:val="007D543D"/>
    <w:rsid w:val="0083719E"/>
    <w:rsid w:val="00A73562"/>
    <w:rsid w:val="00AB58E8"/>
    <w:rsid w:val="00B17C49"/>
    <w:rsid w:val="00B457DE"/>
    <w:rsid w:val="00BB49D9"/>
    <w:rsid w:val="00BC2623"/>
    <w:rsid w:val="00BD20E0"/>
    <w:rsid w:val="00BF3E1C"/>
    <w:rsid w:val="00D025A1"/>
    <w:rsid w:val="00DA6219"/>
    <w:rsid w:val="00DC01BD"/>
    <w:rsid w:val="00DF1744"/>
    <w:rsid w:val="00E55A3D"/>
    <w:rsid w:val="00E653A2"/>
    <w:rsid w:val="00E86121"/>
    <w:rsid w:val="00ED678B"/>
    <w:rsid w:val="00F801AC"/>
    <w:rsid w:val="00F8676D"/>
    <w:rsid w:val="00FA43EA"/>
    <w:rsid w:val="00FB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5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9D9"/>
  </w:style>
  <w:style w:type="paragraph" w:styleId="a8">
    <w:name w:val="footer"/>
    <w:basedOn w:val="a"/>
    <w:link w:val="a9"/>
    <w:uiPriority w:val="99"/>
    <w:semiHidden/>
    <w:unhideWhenUsed/>
    <w:rsid w:val="00B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4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Машбюро</cp:lastModifiedBy>
  <cp:revision>15</cp:revision>
  <cp:lastPrinted>2024-06-03T05:51:00Z</cp:lastPrinted>
  <dcterms:created xsi:type="dcterms:W3CDTF">2024-05-13T00:26:00Z</dcterms:created>
  <dcterms:modified xsi:type="dcterms:W3CDTF">2024-06-03T05:52:00Z</dcterms:modified>
</cp:coreProperties>
</file>