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59" w:rsidRPr="00BE3654" w:rsidRDefault="00316359" w:rsidP="00316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6359" w:rsidRPr="00BE3654" w:rsidRDefault="00316359" w:rsidP="00316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16359" w:rsidRPr="00BE3654" w:rsidRDefault="00316359" w:rsidP="00316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359" w:rsidRPr="00BE3654" w:rsidRDefault="00316359" w:rsidP="00316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6359" w:rsidRPr="00BE3654" w:rsidRDefault="00316359" w:rsidP="0031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59" w:rsidRPr="00BE3654" w:rsidRDefault="00316359" w:rsidP="0031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359" w:rsidRPr="00BE3654" w:rsidRDefault="00316359" w:rsidP="0031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654">
        <w:rPr>
          <w:rFonts w:ascii="Times New Roman" w:hAnsi="Times New Roman" w:cs="Times New Roman"/>
          <w:sz w:val="28"/>
          <w:szCs w:val="28"/>
          <w:u w:val="single"/>
        </w:rPr>
        <w:t>26.11.2024 № 77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316359" w:rsidRPr="00BE3654" w:rsidRDefault="00316359" w:rsidP="00316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654">
        <w:rPr>
          <w:rFonts w:ascii="Times New Roman" w:hAnsi="Times New Roman" w:cs="Times New Roman"/>
          <w:sz w:val="28"/>
          <w:szCs w:val="28"/>
        </w:rPr>
        <w:t>п. Чегдомын</w:t>
      </w:r>
    </w:p>
    <w:p w:rsidR="00807023" w:rsidRDefault="00807023" w:rsidP="008070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7023" w:rsidRDefault="00807023" w:rsidP="0080702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7023" w:rsidRDefault="00807023" w:rsidP="0080702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 xml:space="preserve">установлении публичного сервитута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 с кадастровым номером 27:05:0104001:471, в целях складирования строительных и иных материалов, площадью 55 580,0 кв.м.</w:t>
      </w:r>
    </w:p>
    <w:bookmarkEnd w:id="0"/>
    <w:p w:rsidR="00807023" w:rsidRDefault="00807023" w:rsidP="00807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5"/>
            <w:rFonts w:eastAsiaTheme="minorHAnsi"/>
            <w:color w:val="auto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ом 1 статьи 39.37, пунктом 5 статьи 39.38 и пунктом 2 статьи 39.45 Земельного кодекса Российской Федерации, Постановлением Правительства РФ от 24.02.2009 № 160 «О порядке установления охранных зон объектов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 w:cs="Times New Roman"/>
          <w:sz w:val="28"/>
          <w:szCs w:val="28"/>
        </w:rPr>
        <w:t>, Уставом Верхнебуреинского муниципального района Хабаровского края, принятым решением Собрания депутатов Верхнебуреинского муниципального района Хабаровского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 24.05.2005 № 42,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ходатайства первого заместителя начальника группы филиала открытого акционерного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общества «РЖД» Степанова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iCs/>
          <w:sz w:val="28"/>
          <w:szCs w:val="28"/>
        </w:rPr>
        <w:t>от 26.09.2024 ИСХ-17916/ДКРС ХАБАР, вход. № 6961-01-1-20 от 27.09.2024</w:t>
      </w:r>
      <w:r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807023" w:rsidRDefault="00807023" w:rsidP="0080702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границы публичного сервитута общей площадью 55 580,0 кв. м, согласно приложению 1 к настоящему постановлению, на земельный участок с кадастровым номером 27:05:0104001:471, расположенном в Хабаровском крае, Верхнебуреинском районе,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Дубликанское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239 выделы 11, 12, 19, 26, 27, 32 (части) (УН-60).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публичный сервитут на основании ходатайства открытого акционерного общества «Российские железнодорожные дороги» (170174, г.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2/1, стр. 1, Получатель: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ДКРС ОАО «РЖД», ОГРН 1037739877295, ИНН 7708503727), общей площадью 4 664,0 кв. м, в целях </w:t>
      </w:r>
      <w:r>
        <w:rPr>
          <w:rFonts w:ascii="Times New Roman" w:hAnsi="Times New Roman" w:cs="Times New Roman"/>
          <w:bCs/>
          <w:sz w:val="28"/>
          <w:szCs w:val="28"/>
        </w:rPr>
        <w:t>складирования строительных и иных материалов, сроком на 72 месяца (6 лет), на земельный участок, находящимся в государственной собственности.</w:t>
      </w:r>
      <w:proofErr w:type="gramEnd"/>
    </w:p>
    <w:p w:rsidR="00807023" w:rsidRDefault="00807023" w:rsidP="00807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Определить порядок расчета за публичный сервитут согласно приложению 2 к настоящему постановлению.</w:t>
      </w:r>
    </w:p>
    <w:p w:rsidR="00807023" w:rsidRDefault="00807023" w:rsidP="0080702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Размер платы за сервитут Собственник вправе пересматривать по мере увеличения собственных расходов, связанных с содержанием земельного участка, но не чаще одного раза в год.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Открытому акционерному обществу «Российские железнодорожные дороги»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установленном законном порядке обеспечить: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реквизитам: Управления федерального казначейства по Хабаровскому краю </w:t>
      </w:r>
      <w:bookmarkStart w:id="2" w:name="_Hlk32393025"/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Верхнебуреинского муниципального района Хабаровского края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ЛКС 04223101170) ЕКС 40102810845370000014 Отделение Хабаровск Банка России//УФК по Хабаровскому краю г. Хабаровск, БИК 010813050, ИНН 2710001098, КПП 271001001,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 03100643000000012200, ОКТМО 08614000, КБК 840 111 05313 05 0000 120.</w:t>
      </w:r>
    </w:p>
    <w:p w:rsidR="00807023" w:rsidRDefault="00807023" w:rsidP="0080702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просрочку платежа за установленный сервитут, оплачивается пеня от размера невнесённой оплаты за каждый календарный день просрочки путем перечисления на единый счет Управления федерального казначейства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Хабаровскому краю (администрация Верхнебуреинского муниципального района Хабаровского края ЛКС 04223101170) ЕКС 40102810845370000014 Отделение Хабаровск Банка России//УФК по Хабаровскому краю г. Хабаровск, БИК 010813050, ИНН 2710001098, КПП 271001001, ОКТМО 08614000, КБК 840 116 07090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05 0001 140;</w:t>
      </w:r>
    </w:p>
    <w:p w:rsidR="00807023" w:rsidRDefault="00807023" w:rsidP="00807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после прекращения действия публичного сервитута, привести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земельный участок обремененным публичным сервитутом,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постановления, в состояние, пригодное для его использования в соответствии с видом разрешённого использования. 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Открытое акционерное общество «Российские железнодорожные дороги» вправе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до окончания срока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публичного сервитута обратиться с ходатайством об </w:t>
      </w:r>
      <w:r>
        <w:rPr>
          <w:rFonts w:ascii="Times New Roman" w:hAnsi="Times New Roman" w:cs="Times New Roman"/>
          <w:sz w:val="28"/>
          <w:szCs w:val="28"/>
        </w:rPr>
        <w:t>установлении публичного сервитута на новый срок.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Отделу земельных и имущественных отношений администрации Верхнебуреинского муниципального района Хабаровского края (Бурлаков А.А.) направить открытому акционерному обществу «Российские железнодорожные дороги» копию настоящего постановления.</w:t>
      </w:r>
    </w:p>
    <w:p w:rsidR="00807023" w:rsidRDefault="00807023" w:rsidP="00807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Верхнебуреинского муниципального района Хабаровского края Крупевского А.Ю.</w:t>
      </w:r>
    </w:p>
    <w:p w:rsidR="00807023" w:rsidRDefault="00807023" w:rsidP="00807023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9. Настоящее постановление вступает в силу со дня его подписания.</w:t>
      </w:r>
    </w:p>
    <w:p w:rsidR="00807023" w:rsidRDefault="00807023" w:rsidP="00DA2846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A2846" w:rsidRDefault="00DA2846" w:rsidP="00DA2846">
      <w:pPr>
        <w:tabs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7023" w:rsidRDefault="00807023" w:rsidP="00DA284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 w:rsidR="00DA28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А.М. Маслов 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 xml:space="preserve">Верхнебуреинского 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807023" w:rsidRPr="00316359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16359">
        <w:rPr>
          <w:rFonts w:ascii="Times New Roman" w:hAnsi="Times New Roman" w:cs="Times New Roman"/>
          <w:sz w:val="24"/>
          <w:szCs w:val="24"/>
        </w:rPr>
        <w:t xml:space="preserve">от </w:t>
      </w:r>
      <w:r w:rsidR="00316359">
        <w:rPr>
          <w:rFonts w:ascii="Times New Roman" w:hAnsi="Times New Roman" w:cs="Times New Roman"/>
          <w:sz w:val="24"/>
          <w:szCs w:val="24"/>
        </w:rPr>
        <w:t>26.11.2024</w:t>
      </w:r>
      <w:r w:rsidRPr="00316359">
        <w:rPr>
          <w:rFonts w:ascii="Times New Roman" w:hAnsi="Times New Roman" w:cs="Times New Roman"/>
          <w:sz w:val="24"/>
          <w:szCs w:val="24"/>
        </w:rPr>
        <w:t xml:space="preserve"> №</w:t>
      </w:r>
      <w:r w:rsidR="00316359">
        <w:rPr>
          <w:rFonts w:ascii="Times New Roman" w:hAnsi="Times New Roman" w:cs="Times New Roman"/>
          <w:sz w:val="24"/>
          <w:szCs w:val="24"/>
        </w:rPr>
        <w:t xml:space="preserve"> 777</w:t>
      </w:r>
    </w:p>
    <w:p w:rsidR="00807023" w:rsidRDefault="00807023" w:rsidP="00807023">
      <w:pPr>
        <w:pStyle w:val="a3"/>
        <w:spacing w:after="0"/>
        <w:ind w:firstLine="1418"/>
        <w:jc w:val="center"/>
      </w:pPr>
    </w:p>
    <w:p w:rsidR="00DA2846" w:rsidRPr="00DA2846" w:rsidRDefault="00DA2846" w:rsidP="00DA2846">
      <w:pPr>
        <w:spacing w:after="0" w:line="240" w:lineRule="auto"/>
        <w:ind w:left="6"/>
        <w:jc w:val="center"/>
        <w:rPr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>ГРАФИЧЕСКОЕ ОПИСАНИЕ</w:t>
      </w:r>
    </w:p>
    <w:p w:rsidR="00DA2846" w:rsidRPr="00DA2846" w:rsidRDefault="00DA2846" w:rsidP="00DA2846">
      <w:pPr>
        <w:spacing w:after="0" w:line="240" w:lineRule="auto"/>
        <w:jc w:val="center"/>
        <w:rPr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DA2846" w:rsidRPr="00DA2846" w:rsidRDefault="00DA2846" w:rsidP="00DA2846">
      <w:pPr>
        <w:spacing w:after="0" w:line="240" w:lineRule="auto"/>
        <w:ind w:left="46" w:right="2" w:hanging="38"/>
        <w:jc w:val="center"/>
        <w:rPr>
          <w:sz w:val="24"/>
          <w:szCs w:val="24"/>
        </w:rPr>
      </w:pPr>
      <w:proofErr w:type="gramStart"/>
      <w:r w:rsidRPr="00DA2846">
        <w:rPr>
          <w:rFonts w:ascii="Times New Roman" w:eastAsia="Times New Roman" w:hAnsi="Times New Roman" w:cs="Times New Roman"/>
          <w:sz w:val="24"/>
          <w:szCs w:val="24"/>
        </w:rPr>
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</w:t>
      </w:r>
      <w:proofErr w:type="gramEnd"/>
    </w:p>
    <w:p w:rsidR="00DA2846" w:rsidRPr="00DA2846" w:rsidRDefault="00DA2846" w:rsidP="00DA2846">
      <w:pPr>
        <w:spacing w:after="0" w:line="240" w:lineRule="auto"/>
        <w:ind w:left="6"/>
        <w:jc w:val="center"/>
        <w:rPr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>необходимы для обеспечения строительства, реконструкции, ремонта</w:t>
      </w:r>
    </w:p>
    <w:p w:rsidR="00DA2846" w:rsidRPr="00DA2846" w:rsidRDefault="00DA2846" w:rsidP="00DA2846">
      <w:pPr>
        <w:spacing w:after="0" w:line="240" w:lineRule="auto"/>
        <w:jc w:val="center"/>
        <w:rPr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>инженерных сооружений, объектов транспортной инфраструктуры федерального, регионального или местного значения, на срок указанных строительства,</w:t>
      </w:r>
    </w:p>
    <w:p w:rsidR="00DA2846" w:rsidRPr="00DA2846" w:rsidRDefault="00DA2846" w:rsidP="00DA2846">
      <w:pPr>
        <w:spacing w:after="0" w:line="240" w:lineRule="auto"/>
        <w:ind w:left="6"/>
        <w:jc w:val="center"/>
        <w:rPr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>реконструкции, ремонта для объекта: «Второй главный путь на перегоне п.п.</w:t>
      </w:r>
    </w:p>
    <w:p w:rsidR="00AD5BA6" w:rsidRDefault="00DA2846" w:rsidP="00DA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846">
        <w:rPr>
          <w:rFonts w:ascii="Times New Roman" w:eastAsia="Times New Roman" w:hAnsi="Times New Roman" w:cs="Times New Roman"/>
          <w:sz w:val="24"/>
          <w:szCs w:val="24"/>
        </w:rPr>
        <w:t xml:space="preserve">3346 км - </w:t>
      </w:r>
      <w:proofErr w:type="spellStart"/>
      <w:r w:rsidRPr="00DA2846">
        <w:rPr>
          <w:rFonts w:ascii="Times New Roman" w:eastAsia="Times New Roman" w:hAnsi="Times New Roman" w:cs="Times New Roman"/>
          <w:sz w:val="24"/>
          <w:szCs w:val="24"/>
        </w:rPr>
        <w:t>Мукунга</w:t>
      </w:r>
      <w:proofErr w:type="spellEnd"/>
      <w:r w:rsidRPr="00DA2846">
        <w:rPr>
          <w:rFonts w:ascii="Times New Roman" w:eastAsia="Times New Roman" w:hAnsi="Times New Roman" w:cs="Times New Roman"/>
          <w:sz w:val="24"/>
          <w:szCs w:val="24"/>
        </w:rPr>
        <w:t xml:space="preserve"> Дальневосточной железной дороги».</w:t>
      </w:r>
    </w:p>
    <w:p w:rsidR="00DA2846" w:rsidRDefault="00DA2846" w:rsidP="00DA284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07023" w:rsidRDefault="00DA2846" w:rsidP="00DA2846">
      <w:pPr>
        <w:spacing w:after="0"/>
        <w:jc w:val="center"/>
      </w:pPr>
      <w:r>
        <w:rPr>
          <w:rFonts w:ascii="Times New Roman" w:eastAsia="Times New Roman" w:hAnsi="Times New Roman" w:cs="Times New Roman"/>
          <w:sz w:val="15"/>
        </w:rPr>
        <w:t>(наименование объекта, местоположение границ которого описано (далее - объект))</w:t>
      </w:r>
    </w:p>
    <w:p w:rsidR="00807023" w:rsidRDefault="00807023" w:rsidP="00807023">
      <w:pPr>
        <w:spacing w:after="0"/>
      </w:pPr>
    </w:p>
    <w:tbl>
      <w:tblPr>
        <w:tblStyle w:val="TableGrid"/>
        <w:tblW w:w="5000" w:type="pct"/>
        <w:tblInd w:w="0" w:type="dxa"/>
        <w:tblCellMar>
          <w:top w:w="35" w:type="dxa"/>
          <w:left w:w="79" w:type="dxa"/>
          <w:right w:w="85" w:type="dxa"/>
        </w:tblCellMar>
        <w:tblLook w:val="04A0"/>
      </w:tblPr>
      <w:tblGrid>
        <w:gridCol w:w="766"/>
        <w:gridCol w:w="4706"/>
        <w:gridCol w:w="3734"/>
      </w:tblGrid>
      <w:tr w:rsidR="00AD5BA6" w:rsidRPr="00DA2846" w:rsidTr="00DA284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left="6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7"/>
              </w:rPr>
              <w:t>Раздел 1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left="6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7"/>
              </w:rPr>
              <w:t>Сведения об объекте</w:t>
            </w:r>
          </w:p>
        </w:tc>
      </w:tr>
      <w:tr w:rsidR="00AD5BA6" w:rsidRPr="00DA2846" w:rsidTr="00DA284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64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№ </w:t>
            </w:r>
            <w:proofErr w:type="spellStart"/>
            <w:proofErr w:type="gramStart"/>
            <w:r w:rsidRPr="00DA2846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  <w:proofErr w:type="gramEnd"/>
            <w:r w:rsidRPr="00DA2846">
              <w:rPr>
                <w:rFonts w:ascii="Times New Roman" w:eastAsia="Times New Roman" w:hAnsi="Times New Roman" w:cs="Times New Roman"/>
                <w:sz w:val="21"/>
              </w:rPr>
              <w:t>/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spellEnd"/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6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6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Описание характеристик</w:t>
            </w:r>
          </w:p>
        </w:tc>
      </w:tr>
      <w:tr w:rsidR="00AD5BA6" w:rsidRPr="00DA2846" w:rsidTr="00DA284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left="6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left="5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left="5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</w:tr>
      <w:tr w:rsidR="00AD5BA6" w:rsidRPr="00DA2846" w:rsidTr="00DA284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1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>Местоположение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Хабаровский край, район Верхнебуреинский</w:t>
            </w:r>
          </w:p>
        </w:tc>
      </w:tr>
      <w:tr w:rsidR="00AD5BA6" w:rsidRPr="00DA2846" w:rsidTr="00DA284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1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>Площадь объекта +/- величина</w:t>
            </w:r>
          </w:p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>погрешности определения площади (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1"/>
              </w:rPr>
              <w:t>Р</w:t>
            </w:r>
            <w:proofErr w:type="gramEnd"/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+/- Дельта Р)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55580 +/- 4126 м²</w:t>
            </w:r>
          </w:p>
        </w:tc>
      </w:tr>
      <w:tr w:rsidR="00AD5BA6" w:rsidRPr="00DA2846" w:rsidTr="00DA2846">
        <w:trPr>
          <w:trHeight w:val="20"/>
        </w:trPr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1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2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>Иные характеристики объекта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spacing w:line="238" w:lineRule="auto"/>
              <w:ind w:right="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1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«Второй главный путь на перегоне п.п. 3346 км - 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1"/>
              </w:rPr>
              <w:t>Мукунга</w:t>
            </w:r>
            <w:proofErr w:type="spellEnd"/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 Дальневосточной железной дороги», предусмотренные статьей 39.37 Земельного кодекса Российской Федерации или статьями 3.6, 3.9 Федерального закона от 25 октября 2001</w:t>
            </w:r>
          </w:p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>г. № 137-ФЗ «О введении в действие</w:t>
            </w:r>
          </w:p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Земельного кодекса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1"/>
              </w:rPr>
              <w:t>Российской</w:t>
            </w:r>
            <w:proofErr w:type="gramEnd"/>
          </w:p>
          <w:p w:rsidR="00AD5BA6" w:rsidRPr="00DA2846" w:rsidRDefault="00C954E1">
            <w:r w:rsidRPr="00DA2846">
              <w:rPr>
                <w:rFonts w:ascii="Times New Roman" w:eastAsia="Times New Roman" w:hAnsi="Times New Roman" w:cs="Times New Roman"/>
                <w:sz w:val="21"/>
              </w:rPr>
              <w:t xml:space="preserve">Федерации». Срок публичного сервитута 72 месяца. Земельные </w:t>
            </w:r>
            <w:r w:rsidRPr="00DA2846">
              <w:rPr>
                <w:rFonts w:ascii="Times New Roman" w:eastAsia="Times New Roman" w:hAnsi="Times New Roman" w:cs="Times New Roman"/>
                <w:sz w:val="21"/>
              </w:rPr>
              <w:lastRenderedPageBreak/>
              <w:t>участки, образующие зону или территорию: 27:05:0104001:471.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</w:tbl>
    <w:p w:rsidR="00AD5BA6" w:rsidRDefault="00AD5BA6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top w:w="61" w:type="dxa"/>
          <w:left w:w="16" w:type="dxa"/>
          <w:bottom w:w="10" w:type="dxa"/>
          <w:right w:w="16" w:type="dxa"/>
        </w:tblCellMar>
        <w:tblLook w:val="04A0"/>
      </w:tblPr>
      <w:tblGrid>
        <w:gridCol w:w="1815"/>
        <w:gridCol w:w="1210"/>
        <w:gridCol w:w="1210"/>
        <w:gridCol w:w="1664"/>
        <w:gridCol w:w="1563"/>
        <w:gridCol w:w="1612"/>
      </w:tblGrid>
      <w:tr w:rsidR="00AD5BA6" w:rsidRPr="00DA2846" w:rsidTr="00DA2846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D5BA6" w:rsidRPr="00DA2846" w:rsidRDefault="00C954E1">
            <w:pPr>
              <w:ind w:left="1814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7"/>
              </w:rPr>
              <w:t>Раздел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  <w:tr w:rsidR="00AD5BA6" w:rsidRPr="00DA2846" w:rsidTr="00DA2846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5BA6" w:rsidRPr="00DA2846" w:rsidRDefault="00C954E1">
            <w:pPr>
              <w:ind w:left="2370"/>
            </w:pPr>
            <w:r w:rsidRPr="00DA2846">
              <w:rPr>
                <w:rFonts w:ascii="Times New Roman" w:eastAsia="Times New Roman" w:hAnsi="Times New Roman" w:cs="Times New Roman"/>
                <w:sz w:val="27"/>
              </w:rPr>
              <w:t>Сведения о местоположении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  <w:tr w:rsidR="00AD5BA6" w:rsidRPr="00DA2846" w:rsidTr="00DA2846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D5BA6" w:rsidRPr="00DA2846" w:rsidRDefault="00C954E1">
            <w:pPr>
              <w:ind w:left="56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1. Система координат   МСК-27, зона 2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  <w:tr w:rsidR="00AD5BA6" w:rsidRPr="00DA2846" w:rsidTr="00DA2846">
        <w:trPr>
          <w:trHeight w:val="20"/>
        </w:trPr>
        <w:tc>
          <w:tcPr>
            <w:tcW w:w="41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5BA6" w:rsidRPr="00DA2846" w:rsidRDefault="00C954E1">
            <w:pPr>
              <w:ind w:left="56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  <w:tc>
          <w:tcPr>
            <w:tcW w:w="88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  <w:tr w:rsidR="00AD5BA6" w:rsidRPr="00DA2846" w:rsidTr="00DA2846">
        <w:trPr>
          <w:trHeight w:val="20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spacing w:line="238" w:lineRule="auto"/>
              <w:ind w:left="13" w:right="13"/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</w:t>
            </w:r>
          </w:p>
          <w:p w:rsidR="00AD5BA6" w:rsidRPr="00DA2846" w:rsidRDefault="00C954E1">
            <w:pPr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</w:t>
            </w:r>
          </w:p>
          <w:p w:rsidR="00AD5BA6" w:rsidRPr="00DA2846" w:rsidRDefault="00C954E1">
            <w:pPr>
              <w:jc w:val="both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квадратическая</w:t>
            </w:r>
            <w:proofErr w:type="spellEnd"/>
          </w:p>
          <w:p w:rsidR="00AD5BA6" w:rsidRPr="00DA2846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AD5BA6" w:rsidRPr="00DA2846" w:rsidRDefault="00C954E1">
            <w:pPr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8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spacing w:line="238" w:lineRule="auto"/>
              <w:ind w:left="11" w:right="5"/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D5BA6" w:rsidRPr="00DA2846" w:rsidRDefault="00C954E1">
            <w:pPr>
              <w:jc w:val="center"/>
              <w:rPr>
                <w:sz w:val="20"/>
                <w:szCs w:val="20"/>
              </w:rPr>
            </w:pPr>
            <w:r w:rsidRPr="00DA28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 (при наличии)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X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Y</w:t>
            </w:r>
          </w:p>
        </w:tc>
        <w:tc>
          <w:tcPr>
            <w:tcW w:w="9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  <w:tc>
          <w:tcPr>
            <w:tcW w:w="8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725353.70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2254128.69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725361.83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2254169.83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725379.60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2254218.20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725409.09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2254271.66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725436.75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2254298.98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725692.19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2254640.85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725780.97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2254772.25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725802.65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2254811.53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725821.27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2254847.82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725832.67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2254870.54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725852.69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2254907.36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725854.36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2254925.33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13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725850.44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2254925.63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725845.16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2254968.44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725846.58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2255038.31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725858.45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2255082.01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725863.66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2255092.11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lastRenderedPageBreak/>
              <w:t>18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725841.91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2255100.11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725814.18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2255069.71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725796.19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2255054.73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725774.36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2255019.10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725710.87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left="161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2254755.29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ind w:right="7"/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>
            <w:pPr>
              <w:jc w:val="center"/>
            </w:pPr>
            <w:r w:rsidRPr="00DA2846"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/>
        </w:tc>
      </w:tr>
    </w:tbl>
    <w:p w:rsidR="00AD5BA6" w:rsidRPr="00DA2846" w:rsidRDefault="00AD5BA6" w:rsidP="00DA284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CellMar>
          <w:top w:w="61" w:type="dxa"/>
          <w:left w:w="16" w:type="dxa"/>
          <w:right w:w="16" w:type="dxa"/>
        </w:tblCellMar>
        <w:tblLook w:val="04A0"/>
      </w:tblPr>
      <w:tblGrid>
        <w:gridCol w:w="2119"/>
        <w:gridCol w:w="933"/>
        <w:gridCol w:w="1191"/>
        <w:gridCol w:w="1570"/>
        <w:gridCol w:w="1615"/>
        <w:gridCol w:w="1646"/>
      </w:tblGrid>
      <w:tr w:rsidR="00AD5BA6" w:rsidTr="00DA284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1"/>
              </w:rPr>
              <w:t>2. Сведения о характерных точках границ объекта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spacing w:line="238" w:lineRule="auto"/>
              <w:ind w:left="13" w:right="13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</w:t>
            </w:r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</w:t>
            </w:r>
          </w:p>
          <w:p w:rsidR="00AD5BA6" w:rsidRPr="000251CF" w:rsidRDefault="00C954E1">
            <w:pPr>
              <w:jc w:val="both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квадратическая</w:t>
            </w:r>
            <w:proofErr w:type="spellEnd"/>
          </w:p>
          <w:p w:rsidR="00AD5BA6" w:rsidRPr="000251CF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spacing w:line="238" w:lineRule="auto"/>
              <w:ind w:left="11" w:right="5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 (при наличии)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AD5BA6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6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AD5BA6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AD5BA6">
            <w:pPr>
              <w:rPr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AD5BA6">
            <w:pPr>
              <w:rPr>
                <w:sz w:val="20"/>
                <w:szCs w:val="20"/>
              </w:rPr>
            </w:pP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ind w:right="7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ind w:right="7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ind w:right="7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ind w:right="7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ind w:right="7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725717.57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2254735.67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725692.73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2254679.32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725681.73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2254671.91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725670.70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2254671.70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725641.99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2254637.88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28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725600.44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2254579.66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725521.19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2254485.40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725457.75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2254418.59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725416.55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2254377.31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725370.34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2254298.65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725346.78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2254171.18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725353.70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1"/>
              </w:rPr>
              <w:t>2254128.69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Аналитический метод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5.0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3. </w:t>
            </w:r>
            <w:r w:rsidR="000251CF">
              <w:rPr>
                <w:rFonts w:ascii="Times New Roman" w:eastAsia="Times New Roman" w:hAnsi="Times New Roman" w:cs="Times New Roman"/>
                <w:sz w:val="21"/>
              </w:rPr>
              <w:t>Сведения о характерных точках части (частей) границы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объекта</w:t>
            </w:r>
          </w:p>
        </w:tc>
      </w:tr>
      <w:tr w:rsidR="00AD5BA6" w:rsidRPr="000251CF" w:rsidTr="00DA2846">
        <w:trPr>
          <w:trHeight w:val="20"/>
        </w:trPr>
        <w:tc>
          <w:tcPr>
            <w:tcW w:w="1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11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Координаты, 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spacing w:line="238" w:lineRule="auto"/>
              <w:ind w:left="13" w:right="13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определения</w:t>
            </w:r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</w:t>
            </w:r>
          </w:p>
          <w:p w:rsidR="00AD5BA6" w:rsidRPr="000251CF" w:rsidRDefault="00C954E1">
            <w:pPr>
              <w:jc w:val="both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0251CF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квадратическая</w:t>
            </w:r>
            <w:proofErr w:type="spellEnd"/>
          </w:p>
          <w:p w:rsidR="00AD5BA6" w:rsidRPr="000251CF" w:rsidRDefault="00C954E1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погрешность положения</w:t>
            </w:r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характерной точки (</w:t>
            </w:r>
            <w:proofErr w:type="spell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proofErr w:type="gramEnd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0251CF" w:rsidRDefault="00C954E1">
            <w:pPr>
              <w:spacing w:line="238" w:lineRule="auto"/>
              <w:ind w:left="11" w:right="5"/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обозначения точки </w:t>
            </w:r>
            <w:proofErr w:type="gramStart"/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D5BA6" w:rsidRPr="000251CF" w:rsidRDefault="00C954E1">
            <w:pPr>
              <w:jc w:val="center"/>
              <w:rPr>
                <w:sz w:val="20"/>
                <w:szCs w:val="20"/>
              </w:rPr>
            </w:pPr>
            <w:r w:rsidRPr="000251C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 (при наличии)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AD5BA6"/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X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Y</w:t>
            </w:r>
          </w:p>
        </w:tc>
        <w:tc>
          <w:tcPr>
            <w:tcW w:w="86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AD5BA6"/>
        </w:tc>
        <w:tc>
          <w:tcPr>
            <w:tcW w:w="89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AD5BA6"/>
        </w:tc>
        <w:tc>
          <w:tcPr>
            <w:tcW w:w="9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AD5BA6"/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</w:t>
            </w:r>
          </w:p>
        </w:tc>
      </w:tr>
      <w:tr w:rsidR="00AD5BA6" w:rsidTr="00DA2846">
        <w:trPr>
          <w:trHeight w:val="20"/>
        </w:trPr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-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C954E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</w:p>
        </w:tc>
      </w:tr>
      <w:tr w:rsidR="00AD5BA6" w:rsidTr="00DA2846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Default="00AD5BA6"/>
        </w:tc>
      </w:tr>
    </w:tbl>
    <w:p w:rsidR="00AD5BA6" w:rsidRDefault="00AD5BA6">
      <w:pPr>
        <w:spacing w:after="0"/>
        <w:ind w:left="-1440" w:right="10466"/>
      </w:pPr>
    </w:p>
    <w:tbl>
      <w:tblPr>
        <w:tblStyle w:val="TableGrid"/>
        <w:tblW w:w="5000" w:type="pct"/>
        <w:tblInd w:w="0" w:type="dxa"/>
        <w:tblCellMar>
          <w:top w:w="88" w:type="dxa"/>
          <w:left w:w="58" w:type="dxa"/>
          <w:right w:w="51" w:type="dxa"/>
        </w:tblCellMar>
        <w:tblLook w:val="04A0"/>
      </w:tblPr>
      <w:tblGrid>
        <w:gridCol w:w="1443"/>
        <w:gridCol w:w="874"/>
        <w:gridCol w:w="849"/>
        <w:gridCol w:w="774"/>
        <w:gridCol w:w="719"/>
        <w:gridCol w:w="1405"/>
        <w:gridCol w:w="1693"/>
        <w:gridCol w:w="1394"/>
      </w:tblGrid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1. Система координат   -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0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(уточненные) координаты,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положения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обозначения точки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D5BA6" w:rsidRPr="00DA2846" w:rsidRDefault="00C954E1" w:rsidP="00DA2846">
            <w:pPr>
              <w:spacing w:line="2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9571A"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характерных точках части (частей) границы</w:t>
            </w: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proofErr w:type="gramEnd"/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 части границы</w:t>
            </w:r>
          </w:p>
        </w:tc>
        <w:tc>
          <w:tcPr>
            <w:tcW w:w="10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Измененные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(уточненные) координаты,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определения координат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погрешность положения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характерной точки (</w:t>
            </w:r>
            <w:proofErr w:type="spell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обозначения точки </w:t>
            </w:r>
            <w:proofErr w:type="gramStart"/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D5BA6" w:rsidRPr="00DA2846" w:rsidRDefault="00C954E1" w:rsidP="00DA2846">
            <w:pPr>
              <w:spacing w:line="24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</w:p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tabs>
                <w:tab w:val="center" w:pos="796"/>
                <w:tab w:val="center" w:pos="229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p>
        </w:tc>
      </w:tr>
      <w:tr w:rsidR="00AD5BA6" w:rsidRPr="00DA2846" w:rsidTr="00DA2846">
        <w:trPr>
          <w:trHeight w:val="20"/>
        </w:trPr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C954E1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205AFF" w:rsidP="00DA28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5BA6" w:rsidRPr="00DA2846" w:rsidTr="00DA2846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BA6" w:rsidRPr="00DA2846" w:rsidRDefault="00AD5BA6" w:rsidP="00DA284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BA6" w:rsidRDefault="00AD5BA6">
      <w:pPr>
        <w:sectPr w:rsidR="00AD5BA6" w:rsidSect="00DA2846">
          <w:headerReference w:type="default" r:id="rId7"/>
          <w:pgSz w:w="11906" w:h="16838"/>
          <w:pgMar w:top="1276" w:right="709" w:bottom="993" w:left="2155" w:header="720" w:footer="720" w:gutter="0"/>
          <w:cols w:space="720"/>
          <w:titlePg/>
          <w:docGrid w:linePitch="299"/>
        </w:sectPr>
      </w:pPr>
    </w:p>
    <w:p w:rsidR="00AD5BA6" w:rsidRDefault="006B789A" w:rsidP="006B7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6B789A">
        <w:rPr>
          <w:rFonts w:ascii="Times New Roman" w:eastAsia="Times New Roman" w:hAnsi="Times New Roman" w:cs="Times New Roman"/>
          <w:sz w:val="27"/>
        </w:rPr>
        <w:lastRenderedPageBreak/>
        <w:t>Схема расположения границ публичного сервитута</w:t>
      </w:r>
    </w:p>
    <w:p w:rsidR="006B789A" w:rsidRDefault="006B789A" w:rsidP="006B7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6B789A">
        <w:rPr>
          <w:rFonts w:ascii="Times New Roman" w:eastAsia="Times New Roman" w:hAnsi="Times New Roman" w:cs="Times New Roman"/>
          <w:noProof/>
          <w:sz w:val="27"/>
        </w:rPr>
        <w:drawing>
          <wp:inline distT="0" distB="0" distL="0" distR="0">
            <wp:extent cx="9944100" cy="5419725"/>
            <wp:effectExtent l="19050" t="0" r="0" b="0"/>
            <wp:docPr id="2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8" cstate="print"/>
                    <a:srcRect b="4819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9A" w:rsidRDefault="006B789A" w:rsidP="006B7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B789A" w:rsidRDefault="006B789A" w:rsidP="006B789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Подпись ___________________________________                                                                                                                                                    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6B789A" w:rsidRDefault="006B789A" w:rsidP="006B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6B789A" w:rsidRDefault="006B789A" w:rsidP="0097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 w:rsidRPr="00970FC7">
        <w:rPr>
          <w:rFonts w:ascii="Times New Roman" w:eastAsia="Times New Roman" w:hAnsi="Times New Roman" w:cs="Times New Roman"/>
          <w:sz w:val="27"/>
        </w:rPr>
        <w:lastRenderedPageBreak/>
        <w:t>Схема расположения границ публичного сервитута</w:t>
      </w:r>
    </w:p>
    <w:p w:rsidR="00970FC7" w:rsidRPr="00970FC7" w:rsidRDefault="00970FC7" w:rsidP="00970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B789A" w:rsidRDefault="006B789A" w:rsidP="006B7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 w:rsidRPr="006B789A">
        <w:rPr>
          <w:rFonts w:ascii="Times New Roman" w:eastAsia="Times New Roman" w:hAnsi="Times New Roman" w:cs="Times New Roman"/>
          <w:b/>
          <w:noProof/>
          <w:sz w:val="27"/>
        </w:rPr>
        <w:drawing>
          <wp:inline distT="0" distB="0" distL="0" distR="0">
            <wp:extent cx="9953625" cy="4867275"/>
            <wp:effectExtent l="19050" t="0" r="9525" b="0"/>
            <wp:docPr id="3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4940" cy="48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C7" w:rsidRDefault="00970FC7" w:rsidP="0097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970FC7" w:rsidRDefault="00970FC7" w:rsidP="0097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970FC7" w:rsidRDefault="00970FC7" w:rsidP="0097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970FC7" w:rsidRDefault="00970FC7" w:rsidP="0097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Подпись ___________________________________                                                                                                                                                     Дата "_____" ___________ </w:t>
      </w:r>
      <w:proofErr w:type="spellStart"/>
      <w:r>
        <w:rPr>
          <w:rFonts w:ascii="Times New Roman" w:eastAsia="Times New Roman" w:hAnsi="Times New Roman" w:cs="Times New Roman"/>
          <w:sz w:val="21"/>
        </w:rPr>
        <w:t>_______</w:t>
      </w:r>
      <w:proofErr w:type="gramStart"/>
      <w:r>
        <w:rPr>
          <w:rFonts w:ascii="Times New Roman" w:eastAsia="Times New Roman" w:hAnsi="Times New Roman" w:cs="Times New Roman"/>
          <w:sz w:val="21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</w:rPr>
        <w:t>.</w:t>
      </w:r>
    </w:p>
    <w:p w:rsidR="00970FC7" w:rsidRDefault="00970FC7" w:rsidP="00970F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i/>
          <w:sz w:val="19"/>
        </w:rPr>
        <w:t>Место для оттиска печати (при наличии) лица, составившего описание местоположения границ объекта</w:t>
      </w:r>
    </w:p>
    <w:p w:rsidR="00970FC7" w:rsidRDefault="00970FC7" w:rsidP="006B789A">
      <w:pPr>
        <w:spacing w:after="0" w:line="240" w:lineRule="auto"/>
        <w:jc w:val="both"/>
        <w:sectPr w:rsidR="00970FC7" w:rsidSect="00DA2846">
          <w:pgSz w:w="16838" w:h="11906" w:orient="landscape"/>
          <w:pgMar w:top="1701" w:right="567" w:bottom="567" w:left="567" w:header="720" w:footer="720" w:gutter="0"/>
          <w:cols w:space="720"/>
        </w:sectPr>
      </w:pP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07023" w:rsidRPr="00807023" w:rsidRDefault="00807023" w:rsidP="0080702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07023">
        <w:rPr>
          <w:rFonts w:ascii="Times New Roman" w:hAnsi="Times New Roman" w:cs="Times New Roman"/>
          <w:sz w:val="28"/>
          <w:szCs w:val="28"/>
        </w:rPr>
        <w:t xml:space="preserve">от </w:t>
      </w:r>
      <w:r w:rsidR="00316359">
        <w:rPr>
          <w:rFonts w:ascii="Times New Roman" w:hAnsi="Times New Roman" w:cs="Times New Roman"/>
          <w:sz w:val="28"/>
          <w:szCs w:val="28"/>
        </w:rPr>
        <w:t>26.11.2024</w:t>
      </w:r>
      <w:r w:rsidRPr="00807023">
        <w:rPr>
          <w:rFonts w:ascii="Times New Roman" w:hAnsi="Times New Roman" w:cs="Times New Roman"/>
          <w:sz w:val="28"/>
          <w:szCs w:val="28"/>
        </w:rPr>
        <w:t xml:space="preserve"> №</w:t>
      </w:r>
      <w:r w:rsidR="00316359">
        <w:rPr>
          <w:rFonts w:ascii="Times New Roman" w:hAnsi="Times New Roman" w:cs="Times New Roman"/>
          <w:sz w:val="28"/>
          <w:szCs w:val="28"/>
        </w:rPr>
        <w:t xml:space="preserve"> 777</w:t>
      </w:r>
    </w:p>
    <w:p w:rsidR="00807023" w:rsidRPr="00807023" w:rsidRDefault="00807023" w:rsidP="008070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7023" w:rsidRPr="00970FC7" w:rsidRDefault="00807023" w:rsidP="0097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023" w:rsidRPr="00970FC7" w:rsidRDefault="00807023" w:rsidP="00970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FC7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27:05:0104001:471, площадью 55 580,0 кв.м., с кадастровой стоимостью 3 740 534,0 руб.:</w:t>
      </w:r>
    </w:p>
    <w:p w:rsidR="00807023" w:rsidRPr="00970FC7" w:rsidRDefault="00807023" w:rsidP="00970FC7">
      <w:pPr>
        <w:pStyle w:val="a3"/>
        <w:spacing w:after="0"/>
        <w:ind w:firstLine="1418"/>
        <w:jc w:val="center"/>
      </w:pP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FC7">
        <w:rPr>
          <w:rFonts w:ascii="Times New Roman" w:eastAsia="Times New Roman" w:hAnsi="Times New Roman" w:cs="Times New Roman"/>
          <w:sz w:val="28"/>
          <w:szCs w:val="24"/>
        </w:rPr>
        <w:t>Рп = (</w:t>
      </w:r>
      <w:proofErr w:type="spellStart"/>
      <w:r w:rsidRPr="00970FC7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Pr="00970FC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3" w:name="_Hlk162598407"/>
      <w:r w:rsidRPr="00970FC7">
        <w:rPr>
          <w:rFonts w:ascii="Times New Roman" w:eastAsia="Times New Roman" w:hAnsi="Times New Roman" w:cs="Times New Roman"/>
          <w:lang w:val="en-US"/>
        </w:rPr>
        <w:t>x</w:t>
      </w:r>
      <w:r w:rsidRPr="00970FC7">
        <w:rPr>
          <w:rFonts w:ascii="Times New Roman" w:eastAsia="Times New Roman" w:hAnsi="Times New Roman" w:cs="Times New Roman"/>
        </w:rPr>
        <w:t xml:space="preserve"> 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>0,01%)/</w:t>
      </w:r>
      <w:bookmarkEnd w:id="3"/>
      <w:r w:rsidRPr="00970F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0F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0FC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0FC7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970FC7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970FC7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27:05:0104001:471) х </w:t>
      </w:r>
      <w:r w:rsidRPr="00970FC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0FC7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970FC7">
        <w:rPr>
          <w:rFonts w:ascii="Times New Roman" w:eastAsia="Times New Roman" w:hAnsi="Times New Roman" w:cs="Times New Roman"/>
          <w:sz w:val="28"/>
          <w:szCs w:val="24"/>
        </w:rPr>
        <w:t>х 6 (испрашиваемый срок).</w:t>
      </w: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C7">
        <w:rPr>
          <w:rFonts w:ascii="Times New Roman" w:eastAsia="Times New Roman" w:hAnsi="Times New Roman" w:cs="Times New Roman"/>
          <w:sz w:val="28"/>
          <w:szCs w:val="24"/>
        </w:rPr>
        <w:t>Рп – размер платы за публичный сервитут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 xml:space="preserve"> земли, </w:t>
      </w:r>
      <w:proofErr w:type="gramStart"/>
      <w:r w:rsidRPr="00970FC7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970FC7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государственной собственности с кадастровым номером 27:05:0104001:471, руб.;</w:t>
      </w: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70FC7">
        <w:rPr>
          <w:rFonts w:ascii="Times New Roman" w:eastAsia="Times New Roman" w:hAnsi="Times New Roman" w:cs="Times New Roman"/>
          <w:sz w:val="28"/>
          <w:szCs w:val="24"/>
        </w:rPr>
        <w:t>Кст</w:t>
      </w:r>
      <w:proofErr w:type="spellEnd"/>
      <w:r w:rsidRPr="00970FC7">
        <w:rPr>
          <w:rFonts w:ascii="Times New Roman" w:eastAsia="Times New Roman" w:hAnsi="Times New Roman" w:cs="Times New Roman"/>
          <w:sz w:val="28"/>
          <w:szCs w:val="24"/>
        </w:rPr>
        <w:t xml:space="preserve"> – кадастровая стоимость земельного участка 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>с кадастровым номером 27:05:0104001:471;</w:t>
      </w: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70FC7">
        <w:rPr>
          <w:rFonts w:ascii="Times New Roman" w:eastAsia="Times New Roman" w:hAnsi="Times New Roman" w:cs="Times New Roman"/>
          <w:sz w:val="28"/>
          <w:szCs w:val="24"/>
        </w:rPr>
        <w:t xml:space="preserve">0,01% - 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0FC7">
        <w:rPr>
          <w:rFonts w:ascii="Times New Roman" w:hAnsi="Times New Roman" w:cs="Times New Roman"/>
          <w:sz w:val="28"/>
          <w:szCs w:val="28"/>
          <w:shd w:val="clear" w:color="auto" w:fill="FFFFFF"/>
        </w:rPr>
        <w:t>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</w:t>
      </w:r>
      <w:r w:rsidRPr="00970FC7">
        <w:rPr>
          <w:rFonts w:ascii="Times New Roman" w:eastAsia="Times New Roman" w:hAnsi="Times New Roman" w:cs="Times New Roman"/>
          <w:sz w:val="28"/>
          <w:szCs w:val="24"/>
        </w:rPr>
        <w:t xml:space="preserve"> (ст. 39.46 Земельного кодекса Российской Федерации);</w:t>
      </w:r>
    </w:p>
    <w:p w:rsidR="00807023" w:rsidRPr="00970FC7" w:rsidRDefault="00807023" w:rsidP="00970FC7">
      <w:pPr>
        <w:pStyle w:val="a3"/>
        <w:spacing w:after="0"/>
        <w:ind w:firstLine="708"/>
        <w:jc w:val="both"/>
      </w:pPr>
      <w:r w:rsidRPr="00970FC7">
        <w:rPr>
          <w:lang w:val="en-US"/>
        </w:rPr>
        <w:t>S</w:t>
      </w:r>
      <w:r w:rsidRPr="00970FC7">
        <w:t xml:space="preserve"> – </w:t>
      </w:r>
      <w:proofErr w:type="gramStart"/>
      <w:r w:rsidRPr="00970FC7">
        <w:t>площадь</w:t>
      </w:r>
      <w:proofErr w:type="gramEnd"/>
      <w:r w:rsidRPr="00970FC7">
        <w:t xml:space="preserve"> земельного участка</w:t>
      </w:r>
      <w:r w:rsidRPr="00970FC7">
        <w:rPr>
          <w:szCs w:val="28"/>
        </w:rPr>
        <w:t xml:space="preserve"> с кадастровым номером 27:05:0104001:471, </w:t>
      </w:r>
      <w:r w:rsidRPr="00970FC7">
        <w:t>учтенного в Едином государственном реестре недвижимости;</w:t>
      </w:r>
    </w:p>
    <w:p w:rsidR="00807023" w:rsidRPr="00970FC7" w:rsidRDefault="00807023" w:rsidP="00970FC7">
      <w:pPr>
        <w:pStyle w:val="a3"/>
        <w:spacing w:after="0"/>
        <w:ind w:firstLine="708"/>
        <w:jc w:val="both"/>
      </w:pPr>
      <w:r w:rsidRPr="00970FC7">
        <w:rPr>
          <w:lang w:val="en-US"/>
        </w:rPr>
        <w:t>S</w:t>
      </w:r>
      <w:r w:rsidRPr="00970FC7">
        <w:t xml:space="preserve"> – </w:t>
      </w:r>
      <w:proofErr w:type="gramStart"/>
      <w:r w:rsidRPr="00970FC7">
        <w:t>испрашиваемого</w:t>
      </w:r>
      <w:proofErr w:type="gramEnd"/>
      <w:r w:rsidRPr="00970FC7">
        <w:t xml:space="preserve"> площадь</w:t>
      </w:r>
      <w:r w:rsidRPr="00970FC7">
        <w:rPr>
          <w:szCs w:val="28"/>
        </w:rPr>
        <w:t xml:space="preserve"> земли.</w:t>
      </w:r>
    </w:p>
    <w:p w:rsidR="00807023" w:rsidRPr="00970FC7" w:rsidRDefault="00807023" w:rsidP="0097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07023" w:rsidRPr="00970FC7" w:rsidRDefault="00807023" w:rsidP="00970F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0FC7">
        <w:rPr>
          <w:rFonts w:ascii="Times New Roman" w:eastAsia="Times New Roman" w:hAnsi="Times New Roman" w:cs="Times New Roman"/>
          <w:sz w:val="28"/>
          <w:szCs w:val="24"/>
        </w:rPr>
        <w:t xml:space="preserve">Рп = 3 740 534,0 </w:t>
      </w:r>
      <w:r w:rsidRPr="00970FC7">
        <w:rPr>
          <w:rFonts w:ascii="Times New Roman" w:eastAsia="Times New Roman" w:hAnsi="Times New Roman" w:cs="Times New Roman"/>
          <w:lang w:val="en-US"/>
        </w:rPr>
        <w:t>x</w:t>
      </w:r>
      <w:r w:rsidRPr="00970FC7">
        <w:rPr>
          <w:rFonts w:ascii="Times New Roman" w:eastAsia="Times New Roman" w:hAnsi="Times New Roman" w:cs="Times New Roman"/>
        </w:rPr>
        <w:t xml:space="preserve"> 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>0,1%</w:t>
      </w:r>
      <w:r w:rsidRPr="00970FC7">
        <w:rPr>
          <w:rFonts w:ascii="Times New Roman" w:eastAsia="Times New Roman" w:hAnsi="Times New Roman" w:cs="Times New Roman"/>
        </w:rPr>
        <w:t xml:space="preserve"> = </w:t>
      </w:r>
      <w:r w:rsidRPr="00970FC7">
        <w:rPr>
          <w:rFonts w:ascii="Times New Roman" w:eastAsia="Times New Roman" w:hAnsi="Times New Roman" w:cs="Times New Roman"/>
          <w:sz w:val="28"/>
          <w:szCs w:val="28"/>
        </w:rPr>
        <w:t>3 740,53</w:t>
      </w:r>
    </w:p>
    <w:p w:rsidR="00807023" w:rsidRPr="00970FC7" w:rsidRDefault="00807023" w:rsidP="00970F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07023" w:rsidRPr="00970FC7" w:rsidRDefault="00807023" w:rsidP="00970F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FC7">
        <w:rPr>
          <w:rFonts w:ascii="Times New Roman" w:hAnsi="Times New Roman" w:cs="Times New Roman"/>
          <w:sz w:val="28"/>
          <w:szCs w:val="28"/>
        </w:rPr>
        <w:t>Плата за публичный сервитут площадью 55 580,0 кв.м., за весь срок (6 лет) принимается в значении 3 740 (три тысячи семьсот сорок) рублей 53 копейки.</w:t>
      </w:r>
    </w:p>
    <w:p w:rsidR="00807023" w:rsidRDefault="00807023" w:rsidP="00807023">
      <w:pPr>
        <w:pStyle w:val="a3"/>
        <w:spacing w:after="0"/>
        <w:ind w:firstLine="1418"/>
        <w:jc w:val="center"/>
      </w:pPr>
    </w:p>
    <w:p w:rsidR="00C954E1" w:rsidRDefault="00C954E1"/>
    <w:sectPr w:rsidR="00C954E1" w:rsidSect="00970FC7">
      <w:pgSz w:w="11906" w:h="16838"/>
      <w:pgMar w:top="1276" w:right="709" w:bottom="1134" w:left="215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2C" w:rsidRDefault="00AF152C" w:rsidP="00807023">
      <w:pPr>
        <w:spacing w:after="0" w:line="240" w:lineRule="auto"/>
      </w:pPr>
      <w:r>
        <w:separator/>
      </w:r>
    </w:p>
  </w:endnote>
  <w:endnote w:type="continuationSeparator" w:id="0">
    <w:p w:rsidR="00AF152C" w:rsidRDefault="00AF152C" w:rsidP="0080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2C" w:rsidRDefault="00AF152C" w:rsidP="00807023">
      <w:pPr>
        <w:spacing w:after="0" w:line="240" w:lineRule="auto"/>
      </w:pPr>
      <w:r>
        <w:separator/>
      </w:r>
    </w:p>
  </w:footnote>
  <w:footnote w:type="continuationSeparator" w:id="0">
    <w:p w:rsidR="00AF152C" w:rsidRDefault="00AF152C" w:rsidP="0080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4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789A" w:rsidRPr="00807023" w:rsidRDefault="00EE3B7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70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789A" w:rsidRPr="008070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70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3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70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789A" w:rsidRDefault="006B789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BA6"/>
    <w:rsid w:val="000251CF"/>
    <w:rsid w:val="00205AFF"/>
    <w:rsid w:val="002D33D3"/>
    <w:rsid w:val="00316359"/>
    <w:rsid w:val="0067012F"/>
    <w:rsid w:val="006B789A"/>
    <w:rsid w:val="0079571A"/>
    <w:rsid w:val="00807023"/>
    <w:rsid w:val="00970FC7"/>
    <w:rsid w:val="009B4C3F"/>
    <w:rsid w:val="00AD5BA6"/>
    <w:rsid w:val="00AF152C"/>
    <w:rsid w:val="00C954E1"/>
    <w:rsid w:val="00DA2846"/>
    <w:rsid w:val="00EE3B7E"/>
    <w:rsid w:val="00F3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01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807023"/>
    <w:pPr>
      <w:spacing w:after="12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07023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807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023"/>
    <w:rPr>
      <w:rFonts w:ascii="Tahoma" w:eastAsia="Calibri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7023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0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7023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/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Пользователь</dc:creator>
  <cp:keywords/>
  <cp:lastModifiedBy>Машбюро</cp:lastModifiedBy>
  <cp:revision>8</cp:revision>
  <cp:lastPrinted>2024-11-27T01:04:00Z</cp:lastPrinted>
  <dcterms:created xsi:type="dcterms:W3CDTF">2024-11-11T02:19:00Z</dcterms:created>
  <dcterms:modified xsi:type="dcterms:W3CDTF">2024-11-27T01:08:00Z</dcterms:modified>
</cp:coreProperties>
</file>