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C1" w:rsidRDefault="0055766F" w:rsidP="0055766F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Администрация</w:t>
      </w:r>
    </w:p>
    <w:p w:rsidR="004001C1" w:rsidRDefault="0055766F" w:rsidP="0055766F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Верхнебуреинского муниципального района</w:t>
      </w:r>
    </w:p>
    <w:p w:rsidR="004001C1" w:rsidRDefault="004001C1" w:rsidP="0055766F">
      <w:pPr>
        <w:pStyle w:val="1"/>
        <w:ind w:firstLine="0"/>
        <w:jc w:val="center"/>
        <w:rPr>
          <w:color w:val="000000" w:themeColor="text1"/>
        </w:rPr>
      </w:pPr>
    </w:p>
    <w:p w:rsidR="004001C1" w:rsidRDefault="0055766F" w:rsidP="0055766F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ПОСТАНОВЛЕНИЕ</w:t>
      </w:r>
    </w:p>
    <w:p w:rsidR="004001C1" w:rsidRDefault="004001C1" w:rsidP="0055766F">
      <w:pPr>
        <w:pStyle w:val="1"/>
        <w:ind w:firstLine="0"/>
        <w:jc w:val="both"/>
        <w:rPr>
          <w:color w:val="000000" w:themeColor="text1"/>
        </w:rPr>
      </w:pPr>
    </w:p>
    <w:p w:rsidR="004001C1" w:rsidRDefault="004001C1" w:rsidP="0055766F">
      <w:pPr>
        <w:pStyle w:val="1"/>
        <w:ind w:firstLine="0"/>
        <w:jc w:val="both"/>
        <w:rPr>
          <w:color w:val="000000" w:themeColor="text1"/>
        </w:rPr>
      </w:pPr>
    </w:p>
    <w:p w:rsidR="004001C1" w:rsidRPr="0055766F" w:rsidRDefault="0055766F" w:rsidP="0055766F">
      <w:pPr>
        <w:pStyle w:val="1"/>
        <w:ind w:firstLine="0"/>
        <w:jc w:val="both"/>
        <w:rPr>
          <w:color w:val="000000" w:themeColor="text1"/>
          <w:u w:val="single"/>
        </w:rPr>
      </w:pPr>
      <w:r w:rsidRPr="0055766F">
        <w:rPr>
          <w:color w:val="000000" w:themeColor="text1"/>
          <w:u w:val="single"/>
        </w:rPr>
        <w:t>25.07.2025 № 471</w:t>
      </w:r>
    </w:p>
    <w:p w:rsidR="004001C1" w:rsidRDefault="0055766F" w:rsidP="0055766F">
      <w:pPr>
        <w:pStyle w:val="1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рп. Чегдомын</w:t>
      </w:r>
    </w:p>
    <w:p w:rsidR="004001C1" w:rsidRDefault="004001C1" w:rsidP="0055766F">
      <w:pPr>
        <w:pStyle w:val="1"/>
        <w:ind w:firstLine="0"/>
        <w:jc w:val="both"/>
        <w:rPr>
          <w:color w:val="000000" w:themeColor="text1"/>
        </w:rPr>
      </w:pPr>
    </w:p>
    <w:p w:rsidR="004001C1" w:rsidRDefault="004001C1" w:rsidP="0055766F">
      <w:pPr>
        <w:pStyle w:val="1"/>
        <w:ind w:firstLine="0"/>
        <w:jc w:val="both"/>
        <w:rPr>
          <w:color w:val="000000" w:themeColor="text1"/>
        </w:rPr>
      </w:pPr>
    </w:p>
    <w:p w:rsidR="009C0738" w:rsidRDefault="007F0AF4" w:rsidP="004001C1">
      <w:pPr>
        <w:pStyle w:val="1"/>
        <w:spacing w:line="240" w:lineRule="exact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О внесении изменений в Порядок использования бюджетных ассигнований резервного фонда администрации Верхнебуреинского муниципального района Хабаровского края, утвержденный постановлением администрации Верхнебуреинского муниципального района Хабаровского края от 16.05.2025 №</w:t>
      </w:r>
      <w:r w:rsidR="004001C1">
        <w:rPr>
          <w:color w:val="000000" w:themeColor="text1"/>
        </w:rPr>
        <w:t xml:space="preserve"> </w:t>
      </w:r>
      <w:r>
        <w:rPr>
          <w:color w:val="000000" w:themeColor="text1"/>
        </w:rPr>
        <w:t>312</w:t>
      </w:r>
    </w:p>
    <w:p w:rsidR="009C0738" w:rsidRDefault="007F0AF4" w:rsidP="004001C1">
      <w:pPr>
        <w:pStyle w:val="1"/>
        <w:spacing w:line="240" w:lineRule="exact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C0738" w:rsidRDefault="009C0738">
      <w:pPr>
        <w:pStyle w:val="1"/>
        <w:ind w:firstLine="0"/>
        <w:jc w:val="both"/>
        <w:rPr>
          <w:color w:val="000000" w:themeColor="text1"/>
        </w:rPr>
      </w:pPr>
    </w:p>
    <w:p w:rsidR="009C0738" w:rsidRDefault="007F0AF4">
      <w:pPr>
        <w:pStyle w:val="1"/>
        <w:ind w:firstLine="709"/>
        <w:jc w:val="both"/>
        <w:rPr>
          <w:color w:val="auto"/>
        </w:rPr>
      </w:pPr>
      <w:r>
        <w:rPr>
          <w:color w:val="auto"/>
        </w:rPr>
        <w:t>Во исполнение статьи 81 Бюджетного кодекса Российской Федерации, администрация Верхнебуреинского муниципального района Хабаровского края ПОСТАНОВЛЯЕТ:</w:t>
      </w:r>
    </w:p>
    <w:p w:rsidR="009C0738" w:rsidRDefault="007F0AF4" w:rsidP="004001C1">
      <w:pPr>
        <w:pStyle w:val="1"/>
        <w:numPr>
          <w:ilvl w:val="0"/>
          <w:numId w:val="1"/>
        </w:numPr>
        <w:ind w:firstLine="709"/>
        <w:jc w:val="both"/>
        <w:rPr>
          <w:color w:val="auto"/>
        </w:rPr>
      </w:pPr>
      <w:bookmarkStart w:id="0" w:name="bookmark0"/>
      <w:bookmarkEnd w:id="0"/>
      <w:r>
        <w:rPr>
          <w:color w:val="000000" w:themeColor="text1"/>
        </w:rPr>
        <w:t xml:space="preserve">Внести следующие изменения в Порядок использования бюджетных ассигнований резервного фонда администрации Верхнебуреинского муниципального района Хабаровского края, утвержденный постановлением </w:t>
      </w:r>
      <w:r>
        <w:rPr>
          <w:color w:val="auto"/>
        </w:rPr>
        <w:t>администрации Верхнебуреинского муниципального района Хабаровского края от 16.05.2025 № 312 (далее – Порядок):</w:t>
      </w:r>
    </w:p>
    <w:p w:rsidR="009C0738" w:rsidRDefault="007F0AF4" w:rsidP="004001C1">
      <w:pPr>
        <w:pStyle w:val="1"/>
        <w:numPr>
          <w:ilvl w:val="1"/>
          <w:numId w:val="1"/>
        </w:numPr>
        <w:ind w:firstLine="709"/>
        <w:jc w:val="both"/>
        <w:rPr>
          <w:color w:val="auto"/>
        </w:rPr>
      </w:pPr>
      <w:r>
        <w:rPr>
          <w:color w:val="auto"/>
        </w:rPr>
        <w:t>Пункт 3 Порядка читать в новой редакции:</w:t>
      </w:r>
    </w:p>
    <w:p w:rsidR="009C0738" w:rsidRDefault="007F0AF4" w:rsidP="004001C1">
      <w:pPr>
        <w:pStyle w:val="1"/>
        <w:tabs>
          <w:tab w:val="left" w:pos="1038"/>
        </w:tabs>
        <w:ind w:firstLine="709"/>
        <w:jc w:val="both"/>
        <w:rPr>
          <w:color w:val="000000" w:themeColor="text1"/>
        </w:rPr>
      </w:pPr>
      <w:r>
        <w:rPr>
          <w:color w:val="auto"/>
        </w:rPr>
        <w:t xml:space="preserve">«3. Средства </w:t>
      </w:r>
      <w:r>
        <w:rPr>
          <w:color w:val="000000" w:themeColor="text1"/>
        </w:rPr>
        <w:t>резервного фонда расходуются на финансирование: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проведения </w:t>
      </w:r>
      <w:proofErr w:type="gramStart"/>
      <w:r>
        <w:rPr>
          <w:color w:val="000000" w:themeColor="text1"/>
        </w:rPr>
        <w:t>праздничных</w:t>
      </w:r>
      <w:proofErr w:type="gramEnd"/>
      <w:r>
        <w:rPr>
          <w:color w:val="000000" w:themeColor="text1"/>
        </w:rPr>
        <w:t xml:space="preserve"> и торжественных мероприятий районного, краевого и общегосударственного значения;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проведения встреч, симпозиумов, выставок, семинаров, конференций, фестивалей по вопросам районного, краевого и общегосударственного значения;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закупок инвентарного имущества (вещевого и специального имущества), сре</w:t>
      </w:r>
      <w:proofErr w:type="gramStart"/>
      <w:r>
        <w:rPr>
          <w:color w:val="000000" w:themeColor="text1"/>
          <w:lang w:bidi="ru-RU"/>
        </w:rPr>
        <w:t>дств св</w:t>
      </w:r>
      <w:proofErr w:type="gramEnd"/>
      <w:r>
        <w:rPr>
          <w:color w:val="000000" w:themeColor="text1"/>
          <w:lang w:bidi="ru-RU"/>
        </w:rPr>
        <w:t>язи и оповещения, медицинского имущества, автомобильной, специальной и инженерной техники, на оснащение аварийно-спасательного оборудования, инструмента и снаряжения, средств индивидуальной защиты для оснащения и снабжения мобилизованных и добровольцев;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 xml:space="preserve">проведения траурных мероприятий, связанных с захоронением участников СВО, закупку ритуальных принадлежностей для похорон; 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реализацию мероприятий по сопровождению лиц, заключивших </w:t>
      </w:r>
      <w:r>
        <w:rPr>
          <w:color w:val="000000" w:themeColor="text1"/>
        </w:rPr>
        <w:lastRenderedPageBreak/>
        <w:t xml:space="preserve">контракт на военную службу, до пункта отбора (2 категории) на контракт на военную службу в </w:t>
      </w:r>
      <w:proofErr w:type="gramStart"/>
      <w:r>
        <w:rPr>
          <w:color w:val="000000" w:themeColor="text1"/>
        </w:rPr>
        <w:t>г</w:t>
      </w:r>
      <w:proofErr w:type="gramEnd"/>
      <w:r>
        <w:rPr>
          <w:color w:val="000000" w:themeColor="text1"/>
        </w:rPr>
        <w:t>. Комсомольск-на-Амуре, далее в военную часть, сотрудниками администрации и уполномоченными лицами (по договору гражданско-правового характера);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мероприятий по направлению сотрудников администрации и  уполномоченных лиц (по договору гражданско-правового характера)  для осуществления агитационной работы за пределами Верхнебуреинского муниципального района Хабаровского края, с целью привлечения кандидатов на заключение контракта на военную службу с Министерством обороны Российской Федерации от администрации района, в том числе с оплатой затрат, связанных с проездом и проживанием;</w:t>
      </w:r>
      <w:proofErr w:type="gramEnd"/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мероприятий по сопровождению кандидатов, выразивших желание заключить контракт на военную службу с Министерством обороны Российской Федерации от администрации района, фактически проживающих в других регионах, в том числе кандидатов из стран ближнего зарубежья, сотрудниками администрации и уполномоченными лицами (по договору гражданско-правового характера);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расходов по восстановлению документов лицам, желающим заключить контракт на военную службу с Министерством обороны Российской Федерации от администрации района;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приобретения </w:t>
      </w:r>
      <w:proofErr w:type="spellStart"/>
      <w:r>
        <w:rPr>
          <w:color w:val="000000" w:themeColor="text1"/>
        </w:rPr>
        <w:t>экспресс-тестов</w:t>
      </w:r>
      <w:proofErr w:type="spellEnd"/>
      <w:r>
        <w:rPr>
          <w:color w:val="000000" w:themeColor="text1"/>
        </w:rPr>
        <w:t xml:space="preserve"> для выявления употребления наркотических средств, а также </w:t>
      </w:r>
      <w:proofErr w:type="spellStart"/>
      <w:r>
        <w:rPr>
          <w:color w:val="000000" w:themeColor="text1"/>
        </w:rPr>
        <w:t>экспресс-тестов</w:t>
      </w:r>
      <w:proofErr w:type="spellEnd"/>
      <w:r>
        <w:rPr>
          <w:color w:val="000000" w:themeColor="text1"/>
        </w:rPr>
        <w:t xml:space="preserve"> на выявление гепатита у </w:t>
      </w:r>
      <w:proofErr w:type="gramStart"/>
      <w:r>
        <w:rPr>
          <w:color w:val="000000" w:themeColor="text1"/>
        </w:rPr>
        <w:t>граждан</w:t>
      </w:r>
      <w:proofErr w:type="gramEnd"/>
      <w:r>
        <w:rPr>
          <w:color w:val="000000" w:themeColor="text1"/>
        </w:rPr>
        <w:t xml:space="preserve"> выразивших желание заключить контракт на военную службу с министерством обороны Российской Федерации от администрации района;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выплат лицам, предоставившим в пункт отбора </w:t>
      </w:r>
      <w:proofErr w:type="gramStart"/>
      <w:r>
        <w:rPr>
          <w:color w:val="000000" w:themeColor="text1"/>
        </w:rPr>
        <w:t>г</w:t>
      </w:r>
      <w:proofErr w:type="gramEnd"/>
      <w:r>
        <w:rPr>
          <w:color w:val="000000" w:themeColor="text1"/>
        </w:rPr>
        <w:t xml:space="preserve">. Комсомольск-на-Амуре Восточного военного округа кандидата, годного для заключения контракта на военную службу (2 разряда), из числа лиц, зарегистрированных на территории Верхнебуреинского муниципального района в размере 30 000 рублей, из числа лиц прибывших с другого района, региона, зарубежья в размере 150 000 рублей.  Выплата осуществляется на основании: заявления (приложение 2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Порядку</w:t>
      </w:r>
      <w:proofErr w:type="gramEnd"/>
      <w:r>
        <w:rPr>
          <w:color w:val="000000" w:themeColor="text1"/>
        </w:rPr>
        <w:t>) с приложением выписки из приказа о зачислении кандидата на военную службу, копий документов, удостоверяющих личность кандидата и заявителя, привлекшего кандидата, реквизитов счета открытого в кредитном учреждении на имя заявителя для перечисления средств;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выплат суточных в размере 700 (семьсот) рублей кандидатам, прибывающим из других поселений и регионов в рп. Чегдомын и далее в пункт отбора (2 категории) на контракт на военную службу </w:t>
      </w:r>
      <w:proofErr w:type="gramStart"/>
      <w:r>
        <w:rPr>
          <w:color w:val="000000" w:themeColor="text1"/>
        </w:rPr>
        <w:t>г</w:t>
      </w:r>
      <w:proofErr w:type="gramEnd"/>
      <w:r>
        <w:rPr>
          <w:color w:val="000000" w:themeColor="text1"/>
        </w:rPr>
        <w:t>. Комсомольска-на-</w:t>
      </w:r>
      <w:proofErr w:type="gramStart"/>
      <w:r>
        <w:rPr>
          <w:color w:val="000000" w:themeColor="text1"/>
        </w:rPr>
        <w:t>Амуре</w:t>
      </w:r>
      <w:proofErr w:type="gramEnd"/>
      <w:r>
        <w:rPr>
          <w:color w:val="000000" w:themeColor="text1"/>
        </w:rPr>
        <w:t xml:space="preserve"> для оформления контракта на военную службу с Министерством обороны Российской Федерации от администрации района;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auto"/>
        </w:rPr>
      </w:pPr>
      <w:r>
        <w:rPr>
          <w:color w:val="auto"/>
        </w:rPr>
        <w:t>выплат командировочных расходов сотрудникам администрации района, осуществляющим подбор и сопровождение кандидатов на заключение контракта на военную службу с Министерством обороны Российской Федерации от администрации района (в соответствии с предоставленными отчетными документами);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приобретения ави</w:t>
      </w:r>
      <w:proofErr w:type="gramStart"/>
      <w:r>
        <w:rPr>
          <w:color w:val="000000" w:themeColor="text1"/>
        </w:rPr>
        <w:t>а-</w:t>
      </w:r>
      <w:proofErr w:type="gramEnd"/>
      <w:r>
        <w:rPr>
          <w:color w:val="000000" w:themeColor="text1"/>
        </w:rPr>
        <w:t xml:space="preserve">, железнодорожных, автобусных билетов, а также оплаты горюче смазочных материалов (при использовании личного автомобильного транспорта) кандидатам выразившим желание заключить контракт на военную службу с Министерством обороны Российской Федерации от администрации района (факт понесенных затрат подтверждается проездными документами и чеками на приобретение ГСМ по пути следования кандидата); 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оплаты за проживание (в гостиницах, </w:t>
      </w:r>
      <w:proofErr w:type="spellStart"/>
      <w:r>
        <w:rPr>
          <w:color w:val="000000" w:themeColor="text1"/>
        </w:rPr>
        <w:t>хостелах</w:t>
      </w:r>
      <w:proofErr w:type="spellEnd"/>
      <w:r>
        <w:rPr>
          <w:color w:val="000000" w:themeColor="text1"/>
        </w:rPr>
        <w:t>, квартирах с предоставлением отчетной документации) до зачисления в военную часть кандидатам выразившим желание заключить контракт на военную службу с Министерством обороны Российской Федерации от администрации района;</w:t>
      </w:r>
    </w:p>
    <w:p w:rsidR="009C0738" w:rsidRDefault="007F0AF4" w:rsidP="004001C1">
      <w:pPr>
        <w:pStyle w:val="1"/>
        <w:numPr>
          <w:ilvl w:val="0"/>
          <w:numId w:val="2"/>
        </w:numPr>
        <w:tabs>
          <w:tab w:val="left" w:pos="92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договоров гражданско-правового характера по оказанию адресной (бытовой) помощи семьям, участников СВО и членам их семей</w:t>
      </w:r>
      <w:proofErr w:type="gramStart"/>
      <w:r>
        <w:rPr>
          <w:color w:val="000000" w:themeColor="text1"/>
        </w:rPr>
        <w:t>.»</w:t>
      </w:r>
      <w:proofErr w:type="gramEnd"/>
    </w:p>
    <w:p w:rsidR="009C0738" w:rsidRDefault="007F0AF4" w:rsidP="004001C1">
      <w:pPr>
        <w:pStyle w:val="ae"/>
        <w:widowControl/>
        <w:numPr>
          <w:ilvl w:val="1"/>
          <w:numId w:val="1"/>
        </w:numPr>
        <w:tabs>
          <w:tab w:val="left" w:pos="104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5"/>
      <w:bookmarkStart w:id="2" w:name="bookmark6"/>
      <w:bookmarkStart w:id="3" w:name="bookmark1"/>
      <w:bookmarkEnd w:id="1"/>
      <w:bookmarkEnd w:id="2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Приложение 2 к Порядку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читать в новой редакции – приложение 1 к настоящему постановлению.</w:t>
      </w:r>
    </w:p>
    <w:p w:rsidR="009C0738" w:rsidRDefault="007F0AF4" w:rsidP="004001C1">
      <w:pPr>
        <w:pStyle w:val="1"/>
        <w:numPr>
          <w:ilvl w:val="0"/>
          <w:numId w:val="1"/>
        </w:numPr>
        <w:tabs>
          <w:tab w:val="left" w:pos="104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01.07.2025.</w:t>
      </w:r>
    </w:p>
    <w:p w:rsidR="009C0738" w:rsidRDefault="009C0738">
      <w:pPr>
        <w:pStyle w:val="1"/>
        <w:ind w:left="6540" w:firstLine="0"/>
        <w:jc w:val="right"/>
        <w:rPr>
          <w:color w:val="000000" w:themeColor="text1"/>
        </w:rPr>
      </w:pPr>
    </w:p>
    <w:p w:rsidR="009C0738" w:rsidRDefault="009C0738">
      <w:pPr>
        <w:pStyle w:val="1"/>
        <w:ind w:firstLine="0"/>
        <w:rPr>
          <w:color w:val="000000" w:themeColor="text1"/>
        </w:rPr>
      </w:pPr>
    </w:p>
    <w:p w:rsidR="009C0738" w:rsidRDefault="009C0738">
      <w:pPr>
        <w:pStyle w:val="1"/>
        <w:ind w:firstLine="0"/>
        <w:rPr>
          <w:color w:val="000000" w:themeColor="text1"/>
        </w:rPr>
      </w:pPr>
    </w:p>
    <w:p w:rsidR="009C0738" w:rsidRDefault="009C0738">
      <w:pPr>
        <w:pStyle w:val="1"/>
        <w:ind w:firstLine="0"/>
        <w:rPr>
          <w:color w:val="000000" w:themeColor="text1"/>
        </w:rPr>
      </w:pPr>
    </w:p>
    <w:p w:rsidR="009C0738" w:rsidRDefault="004001C1" w:rsidP="004001C1">
      <w:pPr>
        <w:pStyle w:val="1"/>
        <w:spacing w:line="240" w:lineRule="exact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И.о. главы</w:t>
      </w:r>
    </w:p>
    <w:p w:rsidR="004001C1" w:rsidRDefault="004001C1" w:rsidP="004001C1">
      <w:pPr>
        <w:pStyle w:val="1"/>
        <w:spacing w:line="240" w:lineRule="exact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администрации района                                        </w:t>
      </w:r>
      <w:r w:rsidR="00183D10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                          И.С. Коваленко</w:t>
      </w:r>
    </w:p>
    <w:p w:rsidR="009C0738" w:rsidRDefault="009C0738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9C0738" w:rsidRDefault="009C0738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9C0738" w:rsidRDefault="009C0738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55766F" w:rsidRDefault="0055766F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55766F" w:rsidRDefault="0055766F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55766F" w:rsidRDefault="0055766F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AF09AA" w:rsidRDefault="00AF09AA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9C0738" w:rsidRDefault="007F0AF4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Приложение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</w:t>
      </w:r>
    </w:p>
    <w:p w:rsidR="00AF09AA" w:rsidRDefault="00AF09AA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 </w:t>
      </w:r>
      <w:r w:rsidR="007F0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9C0738" w:rsidRDefault="007F0AF4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администрации</w:t>
      </w:r>
    </w:p>
    <w:p w:rsidR="00AF09AA" w:rsidRDefault="007F0AF4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Верхнебуреинского</w:t>
      </w:r>
    </w:p>
    <w:p w:rsidR="00AF09AA" w:rsidRDefault="00AF09AA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F0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F0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9C0738" w:rsidRDefault="007F0AF4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Хабаровского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края</w:t>
      </w:r>
    </w:p>
    <w:p w:rsidR="009C0738" w:rsidRDefault="007F0AF4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от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25.07.2025 № 471</w:t>
      </w:r>
    </w:p>
    <w:p w:rsidR="009C0738" w:rsidRDefault="009C0738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9C0738" w:rsidRDefault="007F0AF4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"Приложение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</w:t>
      </w:r>
    </w:p>
    <w:p w:rsidR="009C0738" w:rsidRDefault="007F0AF4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порядку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использования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бюджетных</w:t>
      </w:r>
      <w:proofErr w:type="gramEnd"/>
    </w:p>
    <w:p w:rsidR="009C0738" w:rsidRDefault="007F0AF4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ассигновании</w:t>
      </w:r>
      <w:proofErr w:type="gramEnd"/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резервного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фонда</w:t>
      </w:r>
    </w:p>
    <w:p w:rsidR="009C0738" w:rsidRDefault="007F0AF4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администрации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Верхнебуреинского</w:t>
      </w:r>
    </w:p>
    <w:p w:rsidR="009C0738" w:rsidRDefault="007F0AF4" w:rsidP="00AF09AA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муниципального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района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Хабаровского</w:t>
      </w:r>
      <w:r w:rsidR="00AF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края</w:t>
      </w:r>
    </w:p>
    <w:p w:rsidR="009C0738" w:rsidRDefault="007F0AF4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_________________</w:t>
      </w:r>
    </w:p>
    <w:p w:rsidR="009C0738" w:rsidRDefault="009C0738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9C0738" w:rsidRDefault="009C0738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9C0738" w:rsidRDefault="007F0AF4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Форма заявления </w:t>
      </w:r>
    </w:p>
    <w:p w:rsidR="009C0738" w:rsidRDefault="009C0738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tbl>
      <w:tblPr>
        <w:tblW w:w="5000" w:type="pct"/>
        <w:tblLook w:val="04A0"/>
      </w:tblPr>
      <w:tblGrid>
        <w:gridCol w:w="4902"/>
        <w:gridCol w:w="4953"/>
      </w:tblGrid>
      <w:tr w:rsidR="009C0738" w:rsidTr="00AF09AA">
        <w:tc>
          <w:tcPr>
            <w:tcW w:w="2487" w:type="pct"/>
            <w:shd w:val="clear" w:color="auto" w:fill="auto"/>
          </w:tcPr>
          <w:p w:rsidR="009C0738" w:rsidRDefault="009C0738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2513" w:type="pct"/>
            <w:shd w:val="clear" w:color="auto" w:fill="auto"/>
          </w:tcPr>
          <w:p w:rsidR="009C0738" w:rsidRDefault="007F0AF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Главе Верхнебуреинского района</w:t>
            </w:r>
          </w:p>
          <w:p w:rsidR="009C0738" w:rsidRDefault="007F0AF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А.М. Маслову</w:t>
            </w:r>
          </w:p>
          <w:p w:rsidR="009C0738" w:rsidRDefault="007F0AF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от гражданина ФИО_______________</w:t>
            </w:r>
          </w:p>
          <w:p w:rsidR="009C0738" w:rsidRDefault="007F0AF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_________________________________</w:t>
            </w:r>
          </w:p>
          <w:p w:rsidR="009C0738" w:rsidRDefault="007F0AF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(фамилия, имя, отчество (последнее – при наличии)</w:t>
            </w:r>
            <w:proofErr w:type="gramEnd"/>
          </w:p>
          <w:p w:rsidR="009C0738" w:rsidRDefault="007F0AF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Паспорт РФ ___________</w:t>
            </w:r>
          </w:p>
          <w:p w:rsidR="009C0738" w:rsidRDefault="007F0AF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                      (серия, номер)</w:t>
            </w:r>
          </w:p>
          <w:p w:rsidR="009C0738" w:rsidRDefault="007F0AF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Выдан___________________________ </w:t>
            </w:r>
          </w:p>
          <w:p w:rsidR="009C0738" w:rsidRDefault="007F0AF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дата выдачи, каким органом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)</w:t>
            </w:r>
          </w:p>
        </w:tc>
      </w:tr>
    </w:tbl>
    <w:p w:rsidR="009C0738" w:rsidRDefault="009C0738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9C0738" w:rsidRDefault="007F0AF4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9C0738" w:rsidRDefault="007F0AF4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Заявление</w:t>
      </w:r>
    </w:p>
    <w:p w:rsidR="009C0738" w:rsidRDefault="009C0738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9C0738" w:rsidRDefault="007F0AF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Прошу выплатить мне ___________________________________________.</w:t>
      </w:r>
    </w:p>
    <w:p w:rsidR="009C0738" w:rsidRDefault="007F0AF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____________________________________________________________________</w:t>
      </w:r>
    </w:p>
    <w:p w:rsidR="009C0738" w:rsidRDefault="007F0AF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ar-SA"/>
        </w:rPr>
        <w:t>(сумма цифрами и прописью)</w:t>
      </w:r>
    </w:p>
    <w:p w:rsidR="009C0738" w:rsidRDefault="007F0AF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тысяч рублей за отбор кандидата на военную службу.</w:t>
      </w:r>
    </w:p>
    <w:p w:rsidR="009C0738" w:rsidRDefault="007F0AF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ФИО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кандидата_________________________________________________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, данные его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паспорта__________________________________________________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:rsidR="009C0738" w:rsidRDefault="007F0AF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____________________________________________________________________</w:t>
      </w:r>
    </w:p>
    <w:p w:rsidR="009C0738" w:rsidRDefault="007F0AF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 заявлению прилагаю:</w:t>
      </w:r>
    </w:p>
    <w:p w:rsidR="009C0738" w:rsidRDefault="007F0AF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1.Выписку из приказа о зачислении кандидата на военную службу</w:t>
      </w:r>
    </w:p>
    <w:p w:rsidR="009C0738" w:rsidRDefault="007F0AF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2._______________________________________________________,</w:t>
      </w:r>
    </w:p>
    <w:p w:rsidR="009C0738" w:rsidRDefault="007F0AF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3._______________________________________________________,</w:t>
      </w:r>
    </w:p>
    <w:p w:rsidR="009C0738" w:rsidRDefault="007F0AF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4._______________________________________________________. документов.</w:t>
      </w:r>
    </w:p>
    <w:p w:rsidR="009C0738" w:rsidRDefault="009C0738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9C0738" w:rsidRDefault="009C0738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AF09AA" w:rsidRDefault="007F0AF4" w:rsidP="00AF09AA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Дата_____________ Подпись_____________</w:t>
      </w:r>
    </w:p>
    <w:p w:rsidR="009C0738" w:rsidRDefault="00AF09AA" w:rsidP="00AF09AA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______________________________________</w:t>
      </w:r>
      <w:r w:rsidR="007F0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"</w:t>
      </w:r>
    </w:p>
    <w:sectPr w:rsidR="009C0738" w:rsidSect="00E6608B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10" w:rsidRDefault="00183D10">
      <w:r>
        <w:separator/>
      </w:r>
    </w:p>
  </w:endnote>
  <w:endnote w:type="continuationSeparator" w:id="0">
    <w:p w:rsidR="00183D10" w:rsidRDefault="00183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10" w:rsidRDefault="00183D10">
      <w:r>
        <w:separator/>
      </w:r>
    </w:p>
  </w:footnote>
  <w:footnote w:type="continuationSeparator" w:id="0">
    <w:p w:rsidR="00183D10" w:rsidRDefault="00183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244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183D10" w:rsidRDefault="00183D10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5766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83D10" w:rsidRDefault="00183D10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0AB"/>
    <w:multiLevelType w:val="multilevel"/>
    <w:tmpl w:val="0D0810A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45645F"/>
    <w:multiLevelType w:val="multilevel"/>
    <w:tmpl w:val="4345645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031830"/>
    <w:multiLevelType w:val="multilevel"/>
    <w:tmpl w:val="4E0318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6D"/>
    <w:rsid w:val="00001652"/>
    <w:rsid w:val="00060359"/>
    <w:rsid w:val="00081D44"/>
    <w:rsid w:val="000B78E2"/>
    <w:rsid w:val="000E1D35"/>
    <w:rsid w:val="00112C10"/>
    <w:rsid w:val="001231E5"/>
    <w:rsid w:val="00123558"/>
    <w:rsid w:val="001831FF"/>
    <w:rsid w:val="00183D10"/>
    <w:rsid w:val="002032AF"/>
    <w:rsid w:val="00203304"/>
    <w:rsid w:val="00216CEA"/>
    <w:rsid w:val="002A5693"/>
    <w:rsid w:val="002B7F0A"/>
    <w:rsid w:val="00307A14"/>
    <w:rsid w:val="0032785E"/>
    <w:rsid w:val="00331346"/>
    <w:rsid w:val="003345F9"/>
    <w:rsid w:val="00374865"/>
    <w:rsid w:val="00377330"/>
    <w:rsid w:val="00383B9D"/>
    <w:rsid w:val="003950A3"/>
    <w:rsid w:val="003B0E3E"/>
    <w:rsid w:val="003F24FE"/>
    <w:rsid w:val="004001C1"/>
    <w:rsid w:val="00402D86"/>
    <w:rsid w:val="0043675C"/>
    <w:rsid w:val="00442E92"/>
    <w:rsid w:val="00482D99"/>
    <w:rsid w:val="004D6047"/>
    <w:rsid w:val="004F3AA3"/>
    <w:rsid w:val="00503DA5"/>
    <w:rsid w:val="00510369"/>
    <w:rsid w:val="00534387"/>
    <w:rsid w:val="0055766F"/>
    <w:rsid w:val="00563AB4"/>
    <w:rsid w:val="00592DEA"/>
    <w:rsid w:val="005D5511"/>
    <w:rsid w:val="005E64CF"/>
    <w:rsid w:val="006A1C7D"/>
    <w:rsid w:val="006A5434"/>
    <w:rsid w:val="006A5800"/>
    <w:rsid w:val="006A6B5E"/>
    <w:rsid w:val="006D00E4"/>
    <w:rsid w:val="006D00F2"/>
    <w:rsid w:val="00757A6D"/>
    <w:rsid w:val="00774624"/>
    <w:rsid w:val="007B2BEF"/>
    <w:rsid w:val="007B5EF6"/>
    <w:rsid w:val="007F0AF4"/>
    <w:rsid w:val="00856F02"/>
    <w:rsid w:val="00857D7E"/>
    <w:rsid w:val="008632EF"/>
    <w:rsid w:val="008A00D5"/>
    <w:rsid w:val="008D3950"/>
    <w:rsid w:val="008D47AA"/>
    <w:rsid w:val="00913E13"/>
    <w:rsid w:val="00945DC4"/>
    <w:rsid w:val="00986520"/>
    <w:rsid w:val="00993F9B"/>
    <w:rsid w:val="009C0738"/>
    <w:rsid w:val="009E16F1"/>
    <w:rsid w:val="009F111B"/>
    <w:rsid w:val="00A05616"/>
    <w:rsid w:val="00A16B74"/>
    <w:rsid w:val="00AA60DE"/>
    <w:rsid w:val="00AC10D4"/>
    <w:rsid w:val="00AF09AA"/>
    <w:rsid w:val="00B328AB"/>
    <w:rsid w:val="00B37094"/>
    <w:rsid w:val="00B54458"/>
    <w:rsid w:val="00BA26E7"/>
    <w:rsid w:val="00C525C7"/>
    <w:rsid w:val="00CC4769"/>
    <w:rsid w:val="00CC5B4E"/>
    <w:rsid w:val="00CE26B5"/>
    <w:rsid w:val="00D20885"/>
    <w:rsid w:val="00D36C57"/>
    <w:rsid w:val="00D628C6"/>
    <w:rsid w:val="00D63410"/>
    <w:rsid w:val="00D91DA7"/>
    <w:rsid w:val="00DE21A0"/>
    <w:rsid w:val="00E2136A"/>
    <w:rsid w:val="00E34481"/>
    <w:rsid w:val="00E6608B"/>
    <w:rsid w:val="00E7000B"/>
    <w:rsid w:val="00EA1207"/>
    <w:rsid w:val="00EC4B5A"/>
    <w:rsid w:val="00ED6085"/>
    <w:rsid w:val="00F54A5E"/>
    <w:rsid w:val="00F676A5"/>
    <w:rsid w:val="00FB4D7F"/>
    <w:rsid w:val="00FF1ABA"/>
    <w:rsid w:val="52FC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7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7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A1C7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6A1C7D"/>
    <w:pPr>
      <w:tabs>
        <w:tab w:val="center" w:pos="4677"/>
        <w:tab w:val="right" w:pos="9355"/>
      </w:tabs>
    </w:pPr>
  </w:style>
  <w:style w:type="character" w:customStyle="1" w:styleId="a9">
    <w:name w:val="Подпись к картинке_"/>
    <w:basedOn w:val="a0"/>
    <w:link w:val="aa"/>
    <w:locked/>
    <w:rsid w:val="006A1C7D"/>
    <w:rPr>
      <w:rFonts w:ascii="Arial" w:eastAsia="Arial" w:hAnsi="Arial" w:cs="Arial"/>
      <w:color w:val="52545B"/>
      <w:sz w:val="14"/>
      <w:szCs w:val="14"/>
    </w:rPr>
  </w:style>
  <w:style w:type="paragraph" w:customStyle="1" w:styleId="aa">
    <w:name w:val="Подпись к картинке"/>
    <w:basedOn w:val="a"/>
    <w:link w:val="a9"/>
    <w:rsid w:val="006A1C7D"/>
    <w:pPr>
      <w:spacing w:line="208" w:lineRule="auto"/>
    </w:pPr>
    <w:rPr>
      <w:rFonts w:ascii="Arial" w:eastAsia="Arial" w:hAnsi="Arial" w:cs="Arial"/>
      <w:color w:val="52545B"/>
      <w:sz w:val="14"/>
      <w:szCs w:val="14"/>
      <w:lang w:eastAsia="en-US" w:bidi="ar-SA"/>
    </w:rPr>
  </w:style>
  <w:style w:type="character" w:customStyle="1" w:styleId="ab">
    <w:name w:val="Основной текст_"/>
    <w:basedOn w:val="a0"/>
    <w:link w:val="1"/>
    <w:locked/>
    <w:rsid w:val="006A1C7D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1">
    <w:name w:val="Основной текст1"/>
    <w:basedOn w:val="a"/>
    <w:link w:val="ab"/>
    <w:rsid w:val="006A1C7D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A1C7D"/>
    <w:rPr>
      <w:rFonts w:ascii="Times New Roman" w:eastAsia="Times New Roman" w:hAnsi="Times New Roman" w:cs="Times New Roman"/>
      <w:color w:val="3F4044"/>
    </w:rPr>
  </w:style>
  <w:style w:type="paragraph" w:customStyle="1" w:styleId="20">
    <w:name w:val="Основной текст (2)"/>
    <w:basedOn w:val="a"/>
    <w:link w:val="2"/>
    <w:rsid w:val="006A1C7D"/>
    <w:pPr>
      <w:spacing w:after="360"/>
    </w:pPr>
    <w:rPr>
      <w:rFonts w:ascii="Times New Roman" w:eastAsia="Times New Roman" w:hAnsi="Times New Roman" w:cs="Times New Roman"/>
      <w:color w:val="3F4044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6A1C7D"/>
    <w:rPr>
      <w:rFonts w:ascii="Arial" w:eastAsia="Arial" w:hAnsi="Arial" w:cs="Arial"/>
      <w:color w:val="52545B"/>
    </w:rPr>
  </w:style>
  <w:style w:type="paragraph" w:customStyle="1" w:styleId="30">
    <w:name w:val="Основной текст (3)"/>
    <w:basedOn w:val="a"/>
    <w:link w:val="3"/>
    <w:rsid w:val="006A1C7D"/>
    <w:pPr>
      <w:spacing w:after="60"/>
    </w:pPr>
    <w:rPr>
      <w:rFonts w:ascii="Arial" w:eastAsia="Arial" w:hAnsi="Arial" w:cs="Arial"/>
      <w:color w:val="52545B"/>
      <w:sz w:val="22"/>
      <w:szCs w:val="22"/>
      <w:lang w:eastAsia="en-US" w:bidi="ar-SA"/>
    </w:rPr>
  </w:style>
  <w:style w:type="character" w:customStyle="1" w:styleId="ac">
    <w:name w:val="Другое_"/>
    <w:basedOn w:val="a0"/>
    <w:link w:val="ad"/>
    <w:locked/>
    <w:rsid w:val="006A1C7D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ad">
    <w:name w:val="Другое"/>
    <w:basedOn w:val="a"/>
    <w:link w:val="ac"/>
    <w:rsid w:val="006A1C7D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paragraph" w:styleId="ae">
    <w:name w:val="List Paragraph"/>
    <w:basedOn w:val="a"/>
    <w:uiPriority w:val="34"/>
    <w:qFormat/>
    <w:rsid w:val="006A1C7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6A1C7D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6A1C7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6A1C7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E9272-23F7-41E7-B02C-A3001313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Машбюро</cp:lastModifiedBy>
  <cp:revision>10</cp:revision>
  <cp:lastPrinted>2025-07-25T02:18:00Z</cp:lastPrinted>
  <dcterms:created xsi:type="dcterms:W3CDTF">2025-07-23T08:13:00Z</dcterms:created>
  <dcterms:modified xsi:type="dcterms:W3CDTF">2025-07-25T02:27:00Z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A6974F4446934731A1F1B64790406539_12</vt:lpwstr>
  </property>
</Properties>
</file>