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9EBC" w14:textId="77777777" w:rsidR="005353DB" w:rsidRPr="00E7410B" w:rsidRDefault="005353DB" w:rsidP="005353DB">
      <w:pPr>
        <w:jc w:val="center"/>
        <w:rPr>
          <w:rFonts w:eastAsia="Times New Roman"/>
          <w:b/>
          <w:bCs/>
          <w:lang w:eastAsia="ru-RU"/>
        </w:rPr>
      </w:pPr>
      <w:r w:rsidRPr="00E7410B">
        <w:rPr>
          <w:rFonts w:eastAsia="Times New Roman"/>
          <w:b/>
          <w:bCs/>
          <w:lang w:eastAsia="ru-RU"/>
        </w:rPr>
        <w:t>СОБРАНИЕ ДЕПУТАТОВ</w:t>
      </w:r>
    </w:p>
    <w:p w14:paraId="461B43E6" w14:textId="77777777" w:rsidR="005353DB" w:rsidRPr="00E7410B" w:rsidRDefault="005353DB" w:rsidP="005353DB">
      <w:pPr>
        <w:jc w:val="center"/>
        <w:rPr>
          <w:rFonts w:eastAsia="Times New Roman"/>
          <w:b/>
          <w:bCs/>
          <w:lang w:eastAsia="ru-RU"/>
        </w:rPr>
      </w:pPr>
      <w:r w:rsidRPr="00E7410B">
        <w:rPr>
          <w:rFonts w:eastAsia="Times New Roman"/>
          <w:b/>
          <w:bCs/>
          <w:lang w:eastAsia="ru-RU"/>
        </w:rPr>
        <w:t>ВЕРХНЕБУРЕИНСКОГО МУНИЦИПАЛЬНОГО РАЙОНА</w:t>
      </w:r>
    </w:p>
    <w:p w14:paraId="1F08B1D7" w14:textId="77777777" w:rsidR="005353DB" w:rsidRPr="00E7410B" w:rsidRDefault="005353DB" w:rsidP="005353DB">
      <w:pPr>
        <w:jc w:val="center"/>
        <w:rPr>
          <w:rFonts w:eastAsia="Times New Roman"/>
          <w:b/>
          <w:bCs/>
          <w:lang w:eastAsia="ru-RU"/>
        </w:rPr>
      </w:pPr>
      <w:r w:rsidRPr="00E7410B">
        <w:rPr>
          <w:rFonts w:eastAsia="Times New Roman"/>
          <w:b/>
          <w:bCs/>
          <w:lang w:eastAsia="ru-RU"/>
        </w:rPr>
        <w:t>Хабаровского края</w:t>
      </w:r>
    </w:p>
    <w:p w14:paraId="2B9B4313" w14:textId="77777777" w:rsidR="005353DB" w:rsidRPr="00E7410B" w:rsidRDefault="005353DB" w:rsidP="005353DB">
      <w:pPr>
        <w:jc w:val="both"/>
        <w:rPr>
          <w:rFonts w:eastAsia="Times New Roman"/>
          <w:b/>
          <w:bCs/>
          <w:lang w:eastAsia="ru-RU"/>
        </w:rPr>
      </w:pPr>
    </w:p>
    <w:p w14:paraId="7E68EBB1" w14:textId="77777777" w:rsidR="005353DB" w:rsidRPr="00E7410B" w:rsidRDefault="005353DB" w:rsidP="005353DB">
      <w:pPr>
        <w:jc w:val="center"/>
        <w:rPr>
          <w:rFonts w:eastAsia="Times New Roman"/>
          <w:b/>
          <w:bCs/>
          <w:lang w:eastAsia="ru-RU"/>
        </w:rPr>
      </w:pPr>
      <w:r w:rsidRPr="00E7410B">
        <w:rPr>
          <w:rFonts w:eastAsia="Times New Roman"/>
          <w:b/>
          <w:bCs/>
          <w:lang w:eastAsia="ru-RU"/>
        </w:rPr>
        <w:t>РЕШЕНИЕ</w:t>
      </w:r>
    </w:p>
    <w:p w14:paraId="1A26E38F" w14:textId="77777777" w:rsidR="005353DB" w:rsidRPr="00A565A3" w:rsidRDefault="005353DB" w:rsidP="005353DB">
      <w:pPr>
        <w:jc w:val="both"/>
        <w:rPr>
          <w:rFonts w:eastAsia="Times New Roman"/>
          <w:lang w:eastAsia="ru-RU"/>
        </w:rPr>
      </w:pPr>
    </w:p>
    <w:p w14:paraId="60F49AF9" w14:textId="77777777" w:rsidR="005353DB" w:rsidRPr="00A565A3" w:rsidRDefault="005353DB" w:rsidP="005353DB">
      <w:pPr>
        <w:jc w:val="both"/>
        <w:rPr>
          <w:rFonts w:eastAsia="Times New Roman"/>
          <w:lang w:eastAsia="ru-RU"/>
        </w:rPr>
      </w:pPr>
    </w:p>
    <w:p w14:paraId="22EA1AE0" w14:textId="1AAE80E8" w:rsidR="005353DB" w:rsidRDefault="00E7410B" w:rsidP="005353DB">
      <w:pPr>
        <w:jc w:val="both"/>
        <w:rPr>
          <w:u w:val="single"/>
        </w:rPr>
      </w:pPr>
      <w:r w:rsidRPr="00E7410B">
        <w:rPr>
          <w:u w:val="single"/>
        </w:rPr>
        <w:t>31.07.2025 № 239</w:t>
      </w:r>
    </w:p>
    <w:p w14:paraId="3393F762" w14:textId="495DF50B" w:rsidR="00E7410B" w:rsidRPr="00E7410B" w:rsidRDefault="00E7410B" w:rsidP="00E7410B">
      <w:pPr>
        <w:ind w:right="722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E7410B">
        <w:rPr>
          <w:sz w:val="24"/>
          <w:szCs w:val="24"/>
        </w:rPr>
        <w:t>п</w:t>
      </w:r>
      <w:proofErr w:type="spellEnd"/>
      <w:r w:rsidRPr="00E7410B">
        <w:rPr>
          <w:sz w:val="24"/>
          <w:szCs w:val="24"/>
        </w:rPr>
        <w:t>. Чегдомын</w:t>
      </w:r>
    </w:p>
    <w:p w14:paraId="5825781B" w14:textId="77777777" w:rsidR="00E7410B" w:rsidRDefault="00E7410B" w:rsidP="005353DB">
      <w:pPr>
        <w:spacing w:line="240" w:lineRule="exact"/>
        <w:ind w:right="-2"/>
        <w:jc w:val="both"/>
      </w:pPr>
    </w:p>
    <w:p w14:paraId="7C9A8855" w14:textId="77777777" w:rsidR="00FE4E32" w:rsidRDefault="00FE4E32" w:rsidP="005353DB">
      <w:pPr>
        <w:spacing w:line="240" w:lineRule="exact"/>
        <w:ind w:right="-2"/>
        <w:jc w:val="both"/>
      </w:pPr>
    </w:p>
    <w:p w14:paraId="0A15C3BE" w14:textId="3B31B286" w:rsidR="005353DB" w:rsidRPr="00A565A3" w:rsidRDefault="005353DB" w:rsidP="005353DB">
      <w:pPr>
        <w:spacing w:line="240" w:lineRule="exact"/>
        <w:ind w:right="-2"/>
        <w:jc w:val="both"/>
      </w:pPr>
      <w:bookmarkStart w:id="0" w:name="_Hlk204942916"/>
      <w:r>
        <w:t>О ходе реализации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</w:t>
      </w:r>
      <w:r w:rsidR="002B06FC">
        <w:t>4</w:t>
      </w:r>
      <w:r>
        <w:t xml:space="preserve"> год</w:t>
      </w:r>
    </w:p>
    <w:p w14:paraId="000304A1" w14:textId="77777777" w:rsidR="005353DB" w:rsidRPr="00A565A3" w:rsidRDefault="005353DB" w:rsidP="005353DB">
      <w:pPr>
        <w:jc w:val="both"/>
      </w:pPr>
    </w:p>
    <w:p w14:paraId="0ED5353C" w14:textId="77777777" w:rsidR="005353DB" w:rsidRPr="00A565A3" w:rsidRDefault="005353DB" w:rsidP="005353DB">
      <w:pPr>
        <w:jc w:val="both"/>
      </w:pPr>
    </w:p>
    <w:p w14:paraId="246800BD" w14:textId="6F49BC66" w:rsidR="005353DB" w:rsidRPr="00A565A3" w:rsidRDefault="005353DB" w:rsidP="005353DB">
      <w:pPr>
        <w:pStyle w:val="a5"/>
        <w:ind w:firstLine="709"/>
        <w:jc w:val="both"/>
      </w:pPr>
      <w:r w:rsidRPr="00A565A3">
        <w:tab/>
        <w:t xml:space="preserve">Заслушав и обсудив </w:t>
      </w:r>
      <w:r>
        <w:t>отчет о ходе реализации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</w:t>
      </w:r>
      <w:r w:rsidR="002B06FC">
        <w:t>4</w:t>
      </w:r>
      <w:r>
        <w:t xml:space="preserve"> год</w:t>
      </w:r>
      <w:r w:rsidRPr="003A1074">
        <w:t>, Собрание</w:t>
      </w:r>
      <w:r w:rsidRPr="00A565A3">
        <w:t xml:space="preserve"> депутатов</w:t>
      </w:r>
      <w:r>
        <w:t xml:space="preserve"> Верхнебуреинского муниципального района Хабаровского края</w:t>
      </w:r>
    </w:p>
    <w:p w14:paraId="44F10DF7" w14:textId="77777777" w:rsidR="005353DB" w:rsidRPr="00A565A3" w:rsidRDefault="005353DB" w:rsidP="005353DB">
      <w:pPr>
        <w:jc w:val="both"/>
      </w:pPr>
      <w:r w:rsidRPr="00A565A3">
        <w:t>РЕШИЛО:</w:t>
      </w:r>
    </w:p>
    <w:p w14:paraId="6EB1A0DF" w14:textId="392F15F7" w:rsidR="005353DB" w:rsidRPr="00A565A3" w:rsidRDefault="005353DB" w:rsidP="005353DB">
      <w:pPr>
        <w:ind w:firstLine="709"/>
        <w:jc w:val="both"/>
      </w:pPr>
      <w:r w:rsidRPr="00A565A3">
        <w:t>1.</w:t>
      </w:r>
      <w:r>
        <w:t xml:space="preserve"> Реализацию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</w:t>
      </w:r>
      <w:r w:rsidR="002B06FC">
        <w:t>4</w:t>
      </w:r>
      <w:r>
        <w:t xml:space="preserve"> год</w:t>
      </w:r>
      <w:r w:rsidRPr="00A565A3">
        <w:t xml:space="preserve"> признать удовлетворительной.</w:t>
      </w:r>
    </w:p>
    <w:p w14:paraId="2F756EF8" w14:textId="37EAE8AD" w:rsidR="005353DB" w:rsidRPr="00A565A3" w:rsidRDefault="005353DB" w:rsidP="005353DB">
      <w:pPr>
        <w:ind w:firstLine="709"/>
        <w:jc w:val="both"/>
      </w:pPr>
      <w:r w:rsidRPr="00A565A3">
        <w:t xml:space="preserve">2. </w:t>
      </w:r>
      <w:r>
        <w:t>Отчет о ходе реализации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</w:t>
      </w:r>
      <w:r w:rsidR="002B06FC">
        <w:t>4</w:t>
      </w:r>
      <w:r>
        <w:t xml:space="preserve"> год</w:t>
      </w:r>
      <w:r w:rsidRPr="00A565A3">
        <w:t xml:space="preserve"> принять к сведению, согласно приложению.</w:t>
      </w:r>
    </w:p>
    <w:p w14:paraId="472EDF8F" w14:textId="77777777" w:rsidR="005353DB" w:rsidRPr="00A565A3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  <w:r w:rsidRPr="00A565A3">
        <w:rPr>
          <w:rFonts w:cs="Times New Roman"/>
          <w:sz w:val="28"/>
          <w:szCs w:val="28"/>
        </w:rPr>
        <w:t>3. Контроль за исполнением настоящего решения возложить на постоянную комиссию по социально</w:t>
      </w:r>
      <w:r>
        <w:rPr>
          <w:rFonts w:cs="Times New Roman"/>
          <w:sz w:val="28"/>
          <w:szCs w:val="28"/>
        </w:rPr>
        <w:t>-</w:t>
      </w:r>
      <w:r w:rsidRPr="00A565A3">
        <w:rPr>
          <w:rFonts w:cs="Times New Roman"/>
          <w:sz w:val="28"/>
          <w:szCs w:val="28"/>
        </w:rPr>
        <w:t>экономическому развитию района, бюджету, налогам и сборам (</w:t>
      </w:r>
      <w:r>
        <w:rPr>
          <w:rFonts w:cs="Times New Roman"/>
          <w:sz w:val="28"/>
          <w:szCs w:val="28"/>
        </w:rPr>
        <w:t>Е.А. Перминова</w:t>
      </w:r>
      <w:r w:rsidRPr="00A565A3">
        <w:rPr>
          <w:rFonts w:cs="Times New Roman"/>
          <w:sz w:val="28"/>
          <w:szCs w:val="28"/>
        </w:rPr>
        <w:t>).</w:t>
      </w:r>
    </w:p>
    <w:p w14:paraId="6C434504" w14:textId="6A96B543" w:rsidR="005353DB" w:rsidRPr="00A565A3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  <w:r w:rsidRPr="00A565A3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 </w:t>
      </w:r>
      <w:r w:rsidRPr="00A565A3">
        <w:rPr>
          <w:rFonts w:cs="Times New Roman"/>
          <w:sz w:val="28"/>
          <w:szCs w:val="28"/>
        </w:rPr>
        <w:t xml:space="preserve">Настоящее решение вступает в силу </w:t>
      </w:r>
      <w:r w:rsidR="00E7410B">
        <w:rPr>
          <w:rFonts w:cs="Times New Roman"/>
          <w:sz w:val="28"/>
          <w:szCs w:val="28"/>
        </w:rPr>
        <w:t>после</w:t>
      </w:r>
      <w:r w:rsidRPr="00A565A3">
        <w:rPr>
          <w:rFonts w:cs="Times New Roman"/>
          <w:sz w:val="28"/>
          <w:szCs w:val="28"/>
        </w:rPr>
        <w:t xml:space="preserve"> его официального опубликования (обнародования).</w:t>
      </w:r>
    </w:p>
    <w:p w14:paraId="6BBBA303" w14:textId="77777777" w:rsidR="005353DB" w:rsidRPr="00A565A3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8698DF9" w14:textId="77777777" w:rsidR="005353DB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247841E1" w14:textId="77777777" w:rsidR="005353DB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5A84811A" w14:textId="77777777" w:rsidR="00E7410B" w:rsidRDefault="005353DB" w:rsidP="005353D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A565A3">
        <w:t xml:space="preserve">Председатель </w:t>
      </w:r>
    </w:p>
    <w:p w14:paraId="348425F6" w14:textId="425D343C" w:rsidR="005353DB" w:rsidRPr="00A565A3" w:rsidRDefault="005353DB" w:rsidP="005353D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A565A3">
        <w:t xml:space="preserve">Собрания депутатов               </w:t>
      </w:r>
      <w:r w:rsidRPr="00A565A3">
        <w:tab/>
        <w:t xml:space="preserve">           </w:t>
      </w:r>
      <w:r w:rsidRPr="00A565A3">
        <w:tab/>
        <w:t xml:space="preserve">     </w:t>
      </w:r>
      <w:r>
        <w:t xml:space="preserve">  </w:t>
      </w:r>
      <w:r w:rsidRPr="00A565A3">
        <w:t xml:space="preserve">  </w:t>
      </w:r>
      <w:r w:rsidR="00E7410B">
        <w:t xml:space="preserve">                              </w:t>
      </w:r>
      <w:r w:rsidRPr="00A565A3">
        <w:t>С.Н.</w:t>
      </w:r>
      <w:r>
        <w:t xml:space="preserve"> </w:t>
      </w:r>
      <w:r w:rsidRPr="00A565A3">
        <w:t>Касимов</w:t>
      </w:r>
    </w:p>
    <w:p w14:paraId="79D9BD2B" w14:textId="77777777" w:rsidR="005353DB" w:rsidRDefault="005353DB" w:rsidP="005353DB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313B2218" w14:textId="77777777" w:rsidR="005353DB" w:rsidRPr="00A565A3" w:rsidRDefault="005353DB" w:rsidP="005353DB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4497B5C8" w14:textId="713F87BD" w:rsidR="00E7410B" w:rsidRPr="00A565A3" w:rsidRDefault="005353DB" w:rsidP="00E7410B">
      <w:pPr>
        <w:widowControl w:val="0"/>
        <w:autoSpaceDE w:val="0"/>
        <w:autoSpaceDN w:val="0"/>
        <w:adjustRightInd w:val="0"/>
        <w:spacing w:line="240" w:lineRule="exact"/>
      </w:pPr>
      <w:r w:rsidRPr="00A565A3">
        <w:t>Глава</w:t>
      </w:r>
      <w:r w:rsidR="00E7410B">
        <w:t xml:space="preserve"> района</w:t>
      </w:r>
    </w:p>
    <w:p w14:paraId="0B2582F1" w14:textId="3AA8EA9B" w:rsidR="005353DB" w:rsidRDefault="005353DB" w:rsidP="00787FC8">
      <w:pPr>
        <w:widowControl w:val="0"/>
        <w:autoSpaceDE w:val="0"/>
        <w:autoSpaceDN w:val="0"/>
        <w:adjustRightInd w:val="0"/>
        <w:spacing w:line="240" w:lineRule="exact"/>
      </w:pPr>
      <w:r w:rsidRPr="00A565A3">
        <w:tab/>
      </w:r>
      <w:r w:rsidRPr="00A565A3">
        <w:tab/>
      </w:r>
      <w:r w:rsidRPr="00A565A3">
        <w:tab/>
      </w:r>
      <w:r w:rsidRPr="00A565A3">
        <w:tab/>
      </w:r>
      <w:r w:rsidRPr="00A565A3">
        <w:tab/>
      </w:r>
      <w:r w:rsidRPr="00A565A3">
        <w:tab/>
      </w:r>
      <w:r w:rsidR="00787FC8">
        <w:tab/>
      </w:r>
      <w:r w:rsidRPr="00A565A3">
        <w:t xml:space="preserve">  </w:t>
      </w:r>
      <w:r>
        <w:t xml:space="preserve">    </w:t>
      </w:r>
      <w:r w:rsidRPr="00A565A3">
        <w:t xml:space="preserve">    </w:t>
      </w:r>
      <w:r w:rsidR="00E7410B">
        <w:t xml:space="preserve">                              </w:t>
      </w:r>
      <w:r w:rsidRPr="00A565A3">
        <w:t>А.М.</w:t>
      </w:r>
      <w:r>
        <w:t xml:space="preserve"> </w:t>
      </w:r>
      <w:r w:rsidRPr="00A565A3">
        <w:t>Маслов</w:t>
      </w:r>
    </w:p>
    <w:bookmarkEnd w:id="0"/>
    <w:p w14:paraId="58217781" w14:textId="16F27E9C" w:rsidR="003705D0" w:rsidRDefault="003705D0">
      <w:r>
        <w:br w:type="page"/>
      </w:r>
    </w:p>
    <w:p w14:paraId="0E8EBE9B" w14:textId="77777777" w:rsidR="003705D0" w:rsidRDefault="003705D0" w:rsidP="00787FC8">
      <w:pPr>
        <w:widowControl w:val="0"/>
        <w:autoSpaceDE w:val="0"/>
        <w:autoSpaceDN w:val="0"/>
        <w:adjustRightInd w:val="0"/>
        <w:spacing w:line="240" w:lineRule="exact"/>
        <w:sectPr w:rsidR="003705D0" w:rsidSect="00CE4DD1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14:paraId="3FB34326" w14:textId="77777777" w:rsidR="00E7410B" w:rsidRPr="00E7410B" w:rsidRDefault="00E7410B" w:rsidP="00E7410B">
      <w:pPr>
        <w:pStyle w:val="20"/>
        <w:shd w:val="clear" w:color="auto" w:fill="auto"/>
        <w:spacing w:after="120" w:line="240" w:lineRule="exact"/>
        <w:ind w:left="9923"/>
        <w:jc w:val="center"/>
        <w:rPr>
          <w:sz w:val="28"/>
          <w:szCs w:val="28"/>
          <w:lang w:eastAsia="ru-RU" w:bidi="ru-RU"/>
        </w:rPr>
      </w:pPr>
      <w:r w:rsidRPr="00E7410B">
        <w:rPr>
          <w:sz w:val="28"/>
          <w:szCs w:val="28"/>
          <w:lang w:eastAsia="ru-RU" w:bidi="ru-RU"/>
        </w:rPr>
        <w:lastRenderedPageBreak/>
        <w:t xml:space="preserve">Приложение </w:t>
      </w:r>
    </w:p>
    <w:p w14:paraId="07734B61" w14:textId="77777777" w:rsidR="00E7410B" w:rsidRPr="00E7410B" w:rsidRDefault="00E7410B" w:rsidP="00E7410B">
      <w:pPr>
        <w:pStyle w:val="20"/>
        <w:shd w:val="clear" w:color="auto" w:fill="auto"/>
        <w:spacing w:after="0" w:line="240" w:lineRule="exact"/>
        <w:ind w:left="9923"/>
        <w:jc w:val="center"/>
        <w:rPr>
          <w:sz w:val="28"/>
          <w:szCs w:val="28"/>
          <w:lang w:eastAsia="ru-RU" w:bidi="ru-RU"/>
        </w:rPr>
      </w:pPr>
      <w:r w:rsidRPr="00E7410B">
        <w:rPr>
          <w:sz w:val="28"/>
          <w:szCs w:val="28"/>
          <w:lang w:eastAsia="ru-RU" w:bidi="ru-RU"/>
        </w:rPr>
        <w:t xml:space="preserve">к решению Собрания депутатов </w:t>
      </w:r>
    </w:p>
    <w:p w14:paraId="6DE5159D" w14:textId="77777777" w:rsidR="00E7410B" w:rsidRPr="00E7410B" w:rsidRDefault="00E7410B" w:rsidP="00E7410B">
      <w:pPr>
        <w:pStyle w:val="20"/>
        <w:shd w:val="clear" w:color="auto" w:fill="auto"/>
        <w:spacing w:after="0" w:line="240" w:lineRule="exact"/>
        <w:ind w:left="9923"/>
        <w:jc w:val="center"/>
        <w:rPr>
          <w:sz w:val="28"/>
          <w:szCs w:val="28"/>
          <w:lang w:eastAsia="ru-RU" w:bidi="ru-RU"/>
        </w:rPr>
      </w:pPr>
      <w:r w:rsidRPr="00E7410B">
        <w:rPr>
          <w:sz w:val="28"/>
          <w:szCs w:val="28"/>
          <w:lang w:eastAsia="ru-RU" w:bidi="ru-RU"/>
        </w:rPr>
        <w:t xml:space="preserve">Верхнебуреинского муниципального </w:t>
      </w:r>
    </w:p>
    <w:p w14:paraId="7487A326" w14:textId="77777777" w:rsidR="00E7410B" w:rsidRPr="00E7410B" w:rsidRDefault="00E7410B" w:rsidP="00E7410B">
      <w:pPr>
        <w:pStyle w:val="20"/>
        <w:shd w:val="clear" w:color="auto" w:fill="auto"/>
        <w:spacing w:after="0" w:line="240" w:lineRule="exact"/>
        <w:ind w:left="9923"/>
        <w:jc w:val="center"/>
        <w:rPr>
          <w:sz w:val="28"/>
          <w:szCs w:val="28"/>
          <w:lang w:eastAsia="ru-RU" w:bidi="ru-RU"/>
        </w:rPr>
      </w:pPr>
      <w:r w:rsidRPr="00E7410B">
        <w:rPr>
          <w:sz w:val="28"/>
          <w:szCs w:val="28"/>
          <w:lang w:eastAsia="ru-RU" w:bidi="ru-RU"/>
        </w:rPr>
        <w:t xml:space="preserve">района Хабаровского края </w:t>
      </w:r>
    </w:p>
    <w:p w14:paraId="2A3FD039" w14:textId="087B12A9" w:rsidR="00E7410B" w:rsidRPr="00E7410B" w:rsidRDefault="00E7410B" w:rsidP="00E7410B">
      <w:pPr>
        <w:pStyle w:val="20"/>
        <w:shd w:val="clear" w:color="auto" w:fill="auto"/>
        <w:spacing w:before="120" w:after="0" w:line="240" w:lineRule="exact"/>
        <w:ind w:left="9923"/>
        <w:jc w:val="center"/>
        <w:rPr>
          <w:sz w:val="28"/>
          <w:szCs w:val="28"/>
          <w:lang w:eastAsia="ru-RU" w:bidi="ru-RU"/>
        </w:rPr>
      </w:pPr>
      <w:r w:rsidRPr="00E7410B">
        <w:rPr>
          <w:sz w:val="28"/>
          <w:szCs w:val="28"/>
          <w:lang w:eastAsia="ru-RU" w:bidi="ru-RU"/>
        </w:rPr>
        <w:t>от 31.07.2025 № 239</w:t>
      </w:r>
    </w:p>
    <w:p w14:paraId="41DA1CF2" w14:textId="77777777" w:rsidR="00E7410B" w:rsidRDefault="00E7410B" w:rsidP="003705D0">
      <w:pPr>
        <w:pStyle w:val="20"/>
        <w:shd w:val="clear" w:color="auto" w:fill="auto"/>
        <w:spacing w:after="42" w:line="280" w:lineRule="exact"/>
        <w:ind w:left="260"/>
        <w:jc w:val="center"/>
        <w:rPr>
          <w:sz w:val="24"/>
          <w:szCs w:val="24"/>
          <w:lang w:eastAsia="ru-RU" w:bidi="ru-RU"/>
        </w:rPr>
      </w:pPr>
    </w:p>
    <w:p w14:paraId="672C8C69" w14:textId="77777777" w:rsidR="00E7410B" w:rsidRDefault="00E7410B" w:rsidP="003705D0">
      <w:pPr>
        <w:pStyle w:val="20"/>
        <w:shd w:val="clear" w:color="auto" w:fill="auto"/>
        <w:spacing w:after="42" w:line="280" w:lineRule="exact"/>
        <w:ind w:left="260"/>
        <w:jc w:val="center"/>
        <w:rPr>
          <w:sz w:val="24"/>
          <w:szCs w:val="24"/>
          <w:lang w:eastAsia="ru-RU" w:bidi="ru-RU"/>
        </w:rPr>
      </w:pPr>
    </w:p>
    <w:p w14:paraId="515BD76F" w14:textId="679556B7" w:rsidR="003705D0" w:rsidRPr="00D67E95" w:rsidRDefault="003705D0" w:rsidP="003705D0">
      <w:pPr>
        <w:pStyle w:val="20"/>
        <w:shd w:val="clear" w:color="auto" w:fill="auto"/>
        <w:spacing w:after="42" w:line="280" w:lineRule="exact"/>
        <w:ind w:left="260"/>
        <w:jc w:val="center"/>
        <w:rPr>
          <w:sz w:val="24"/>
          <w:szCs w:val="24"/>
        </w:rPr>
      </w:pPr>
      <w:r w:rsidRPr="00D67E95">
        <w:rPr>
          <w:sz w:val="24"/>
          <w:szCs w:val="24"/>
          <w:lang w:eastAsia="ru-RU" w:bidi="ru-RU"/>
        </w:rPr>
        <w:t>ОТЧЕТ по ПЛАНУ МЕРОПРИЯТИЙ</w:t>
      </w:r>
    </w:p>
    <w:p w14:paraId="4B649EF5" w14:textId="77777777" w:rsidR="003705D0" w:rsidRPr="00D67E95" w:rsidRDefault="003705D0" w:rsidP="003705D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</w:rPr>
      </w:pPr>
      <w:r w:rsidRPr="00D67E95">
        <w:rPr>
          <w:sz w:val="24"/>
          <w:szCs w:val="24"/>
          <w:lang w:eastAsia="ru-RU" w:bidi="ru-RU"/>
        </w:rPr>
        <w:t xml:space="preserve">по реализации стратегии социально-экономического развития </w:t>
      </w:r>
      <w:r w:rsidRPr="00D67E95">
        <w:rPr>
          <w:sz w:val="24"/>
          <w:szCs w:val="24"/>
        </w:rPr>
        <w:t>Верхнебуреинского муниципального района</w:t>
      </w:r>
    </w:p>
    <w:p w14:paraId="6E32EA7A" w14:textId="77777777" w:rsidR="003705D0" w:rsidRPr="00D67E95" w:rsidRDefault="003705D0" w:rsidP="003705D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  <w:lang w:eastAsia="ru-RU" w:bidi="ru-RU"/>
        </w:rPr>
      </w:pPr>
      <w:r w:rsidRPr="00D67E95">
        <w:rPr>
          <w:sz w:val="24"/>
          <w:szCs w:val="24"/>
          <w:lang w:eastAsia="ru-RU" w:bidi="ru-RU"/>
        </w:rPr>
        <w:t>Хабаровского края на период до 2030 года (</w:t>
      </w:r>
      <w:r w:rsidRPr="00D67E95">
        <w:rPr>
          <w:sz w:val="24"/>
          <w:szCs w:val="24"/>
          <w:lang w:val="en-US" w:eastAsia="ru-RU" w:bidi="ru-RU"/>
        </w:rPr>
        <w:t>II</w:t>
      </w:r>
      <w:r w:rsidRPr="00D67E95">
        <w:rPr>
          <w:sz w:val="24"/>
          <w:szCs w:val="24"/>
          <w:lang w:eastAsia="ru-RU" w:bidi="ru-RU"/>
        </w:rPr>
        <w:t xml:space="preserve"> этап: 2021-2025 гг.)</w:t>
      </w:r>
    </w:p>
    <w:p w14:paraId="325A437B" w14:textId="77777777" w:rsidR="003705D0" w:rsidRPr="00D67E95" w:rsidRDefault="003705D0" w:rsidP="003705D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  <w:u w:val="single"/>
        </w:rPr>
      </w:pPr>
      <w:r w:rsidRPr="00D67E95">
        <w:rPr>
          <w:sz w:val="24"/>
          <w:szCs w:val="24"/>
          <w:u w:val="single"/>
        </w:rPr>
        <w:t>за 202</w:t>
      </w:r>
      <w:r>
        <w:rPr>
          <w:sz w:val="24"/>
          <w:szCs w:val="24"/>
          <w:u w:val="single"/>
        </w:rPr>
        <w:t>4</w:t>
      </w:r>
      <w:r w:rsidRPr="00D67E95">
        <w:rPr>
          <w:sz w:val="24"/>
          <w:szCs w:val="24"/>
          <w:u w:val="single"/>
        </w:rPr>
        <w:t xml:space="preserve"> год</w:t>
      </w:r>
    </w:p>
    <w:p w14:paraId="4BDB9495" w14:textId="77777777" w:rsidR="003705D0" w:rsidRPr="00D67E95" w:rsidRDefault="003705D0" w:rsidP="003705D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</w:rPr>
      </w:pPr>
    </w:p>
    <w:tbl>
      <w:tblPr>
        <w:tblStyle w:val="af0"/>
        <w:tblW w:w="0" w:type="auto"/>
        <w:tblInd w:w="260" w:type="dxa"/>
        <w:tblLook w:val="04A0" w:firstRow="1" w:lastRow="0" w:firstColumn="1" w:lastColumn="0" w:noHBand="0" w:noVBand="1"/>
      </w:tblPr>
      <w:tblGrid>
        <w:gridCol w:w="749"/>
        <w:gridCol w:w="2709"/>
        <w:gridCol w:w="2703"/>
        <w:gridCol w:w="2685"/>
        <w:gridCol w:w="2796"/>
        <w:gridCol w:w="2658"/>
      </w:tblGrid>
      <w:tr w:rsidR="003705D0" w:rsidRPr="00D67E95" w14:paraId="433DFEA0" w14:textId="77777777" w:rsidTr="00493EB5">
        <w:tc>
          <w:tcPr>
            <w:tcW w:w="756" w:type="dxa"/>
          </w:tcPr>
          <w:p w14:paraId="41DFFC3C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№ п/п</w:t>
            </w:r>
          </w:p>
        </w:tc>
        <w:tc>
          <w:tcPr>
            <w:tcW w:w="2748" w:type="dxa"/>
          </w:tcPr>
          <w:p w14:paraId="48DC570C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Наименование задачи, мероприятия, ключевого события</w:t>
            </w:r>
          </w:p>
        </w:tc>
        <w:tc>
          <w:tcPr>
            <w:tcW w:w="2748" w:type="dxa"/>
          </w:tcPr>
          <w:p w14:paraId="48044B9D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727" w:type="dxa"/>
          </w:tcPr>
          <w:p w14:paraId="67D5A139" w14:textId="77777777" w:rsidR="003705D0" w:rsidRPr="00D67E95" w:rsidRDefault="003705D0" w:rsidP="00493EB5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Показатель и его целевое значение/ ожидаемый результат мероприятия, ключевого события</w:t>
            </w:r>
          </w:p>
        </w:tc>
        <w:tc>
          <w:tcPr>
            <w:tcW w:w="2843" w:type="dxa"/>
          </w:tcPr>
          <w:p w14:paraId="0996E3B9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 xml:space="preserve">Фактический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t>результат мероприятия, ключевого события</w:t>
            </w:r>
          </w:p>
        </w:tc>
        <w:tc>
          <w:tcPr>
            <w:tcW w:w="2704" w:type="dxa"/>
          </w:tcPr>
          <w:p w14:paraId="7CAAE5C7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Примечание</w:t>
            </w:r>
          </w:p>
        </w:tc>
      </w:tr>
    </w:tbl>
    <w:p w14:paraId="3C5E195D" w14:textId="77777777" w:rsidR="003705D0" w:rsidRPr="00D67E95" w:rsidRDefault="003705D0" w:rsidP="003705D0">
      <w:pPr>
        <w:rPr>
          <w:sz w:val="2"/>
          <w:szCs w:val="2"/>
        </w:rPr>
      </w:pPr>
    </w:p>
    <w:tbl>
      <w:tblPr>
        <w:tblStyle w:val="af0"/>
        <w:tblW w:w="0" w:type="auto"/>
        <w:tblInd w:w="260" w:type="dxa"/>
        <w:tblLook w:val="04A0" w:firstRow="1" w:lastRow="0" w:firstColumn="1" w:lastColumn="0" w:noHBand="0" w:noVBand="1"/>
      </w:tblPr>
      <w:tblGrid>
        <w:gridCol w:w="756"/>
        <w:gridCol w:w="2725"/>
        <w:gridCol w:w="2713"/>
        <w:gridCol w:w="2614"/>
        <w:gridCol w:w="2843"/>
        <w:gridCol w:w="2649"/>
      </w:tblGrid>
      <w:tr w:rsidR="003705D0" w:rsidRPr="00D67E95" w14:paraId="05965F96" w14:textId="77777777" w:rsidTr="00493EB5">
        <w:trPr>
          <w:tblHeader/>
        </w:trPr>
        <w:tc>
          <w:tcPr>
            <w:tcW w:w="756" w:type="dxa"/>
            <w:shd w:val="clear" w:color="auto" w:fill="auto"/>
          </w:tcPr>
          <w:p w14:paraId="00FFEB71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14:paraId="74F7FBAE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14:paraId="687F33CD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14:paraId="72F332EF" w14:textId="77777777" w:rsidR="003705D0" w:rsidRPr="00D67E95" w:rsidRDefault="003705D0" w:rsidP="00493EB5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14:paraId="76F5F780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14:paraId="5524F34B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6</w:t>
            </w:r>
          </w:p>
        </w:tc>
      </w:tr>
      <w:tr w:rsidR="003705D0" w:rsidRPr="00D67E95" w14:paraId="1245ABFD" w14:textId="77777777" w:rsidTr="00493EB5">
        <w:tc>
          <w:tcPr>
            <w:tcW w:w="756" w:type="dxa"/>
            <w:shd w:val="clear" w:color="auto" w:fill="auto"/>
          </w:tcPr>
          <w:p w14:paraId="74DDC113" w14:textId="77777777" w:rsidR="003705D0" w:rsidRPr="00D67E95" w:rsidRDefault="003705D0" w:rsidP="00493EB5">
            <w:pPr>
              <w:pStyle w:val="20"/>
              <w:shd w:val="clear" w:color="auto" w:fill="auto"/>
              <w:spacing w:after="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14:paraId="7A44EFF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D67E95">
              <w:rPr>
                <w:rStyle w:val="211pt"/>
                <w:b/>
                <w:color w:val="auto"/>
                <w:sz w:val="24"/>
                <w:szCs w:val="24"/>
              </w:rPr>
              <w:t>Цель № 1 стратегии</w:t>
            </w:r>
          </w:p>
        </w:tc>
        <w:tc>
          <w:tcPr>
            <w:tcW w:w="11022" w:type="dxa"/>
            <w:gridSpan w:val="4"/>
          </w:tcPr>
          <w:p w14:paraId="41B6862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D67E95">
              <w:rPr>
                <w:rStyle w:val="211pt"/>
                <w:b/>
                <w:color w:val="auto"/>
                <w:sz w:val="24"/>
                <w:szCs w:val="24"/>
              </w:rPr>
              <w:t xml:space="preserve">Накопление человеческого капитала на основе формирования нового качества жизни </w:t>
            </w:r>
            <w:r w:rsidRPr="00D67E95">
              <w:rPr>
                <w:rStyle w:val="211pt"/>
                <w:rFonts w:eastAsia="Calibri"/>
                <w:b/>
                <w:color w:val="auto"/>
                <w:sz w:val="24"/>
                <w:szCs w:val="24"/>
              </w:rPr>
              <w:t>(комфортная социальная среда)</w:t>
            </w:r>
          </w:p>
        </w:tc>
      </w:tr>
      <w:tr w:rsidR="003705D0" w:rsidRPr="00D67E95" w14:paraId="65589B98" w14:textId="77777777" w:rsidTr="00493EB5">
        <w:tc>
          <w:tcPr>
            <w:tcW w:w="756" w:type="dxa"/>
            <w:shd w:val="clear" w:color="auto" w:fill="auto"/>
          </w:tcPr>
          <w:p w14:paraId="15E3BB4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5C93D59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Задача 1. Формирование нового качества жизни</w:t>
            </w:r>
          </w:p>
        </w:tc>
        <w:tc>
          <w:tcPr>
            <w:tcW w:w="2741" w:type="dxa"/>
          </w:tcPr>
          <w:p w14:paraId="2E75593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развитие, повышение качества предоставления услуг в районе</w:t>
            </w:r>
          </w:p>
        </w:tc>
        <w:tc>
          <w:tcPr>
            <w:tcW w:w="2734" w:type="dxa"/>
          </w:tcPr>
          <w:p w14:paraId="66ED8E7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среднегодовая численность населения в 2025 году – 25,4 тыс. человек</w:t>
            </w:r>
          </w:p>
        </w:tc>
        <w:tc>
          <w:tcPr>
            <w:tcW w:w="2843" w:type="dxa"/>
          </w:tcPr>
          <w:p w14:paraId="428051F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среднегодовая численность населения за 2024 год – 24,5 тыс. человек</w:t>
            </w:r>
          </w:p>
        </w:tc>
        <w:tc>
          <w:tcPr>
            <w:tcW w:w="2704" w:type="dxa"/>
          </w:tcPr>
          <w:p w14:paraId="4FD6250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370564B7" w14:textId="77777777" w:rsidTr="00493EB5">
        <w:tc>
          <w:tcPr>
            <w:tcW w:w="756" w:type="dxa"/>
            <w:shd w:val="clear" w:color="auto" w:fill="auto"/>
          </w:tcPr>
          <w:p w14:paraId="13560CA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1.1.</w:t>
            </w:r>
          </w:p>
        </w:tc>
        <w:tc>
          <w:tcPr>
            <w:tcW w:w="2748" w:type="dxa"/>
          </w:tcPr>
          <w:p w14:paraId="67314FB7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Формирование нового качества образования</w:t>
            </w:r>
          </w:p>
        </w:tc>
        <w:tc>
          <w:tcPr>
            <w:tcW w:w="2741" w:type="dxa"/>
          </w:tcPr>
          <w:p w14:paraId="69CC1DE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повышение доступности и качества общего образования</w:t>
            </w:r>
          </w:p>
        </w:tc>
        <w:tc>
          <w:tcPr>
            <w:tcW w:w="2734" w:type="dxa"/>
          </w:tcPr>
          <w:p w14:paraId="56A35159" w14:textId="77777777" w:rsidR="003705D0" w:rsidRPr="00D67E95" w:rsidRDefault="003705D0" w:rsidP="00493EB5">
            <w:pPr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14:paraId="5274B2E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На территории Верхнебуреинского района обеспечено доступное и качественное общее образование. 100% несовершеннолетних, проживающих в районе, обучаются в школах.</w:t>
            </w:r>
          </w:p>
        </w:tc>
        <w:tc>
          <w:tcPr>
            <w:tcW w:w="2704" w:type="dxa"/>
          </w:tcPr>
          <w:p w14:paraId="62000D2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В 2024-2025 учебном году в школах района функционировало 5 классов инженерного профиля и 7 классов информационно-технологического профиля</w:t>
            </w:r>
          </w:p>
        </w:tc>
      </w:tr>
      <w:tr w:rsidR="003705D0" w:rsidRPr="00D67E95" w14:paraId="0DF359AB" w14:textId="77777777" w:rsidTr="00493EB5">
        <w:tc>
          <w:tcPr>
            <w:tcW w:w="756" w:type="dxa"/>
            <w:shd w:val="clear" w:color="auto" w:fill="auto"/>
          </w:tcPr>
          <w:p w14:paraId="64F5884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1.1.1.</w:t>
            </w:r>
          </w:p>
        </w:tc>
        <w:tc>
          <w:tcPr>
            <w:tcW w:w="2748" w:type="dxa"/>
          </w:tcPr>
          <w:p w14:paraId="3A794CA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Обеспечение соответствия качества общего образования современных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требований к условиям, структуре и результатам освоения образовательной программы</w:t>
            </w:r>
          </w:p>
        </w:tc>
        <w:tc>
          <w:tcPr>
            <w:tcW w:w="2741" w:type="dxa"/>
          </w:tcPr>
          <w:p w14:paraId="5A7D919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завершение внедрения ФГОС в общем образовании</w:t>
            </w:r>
          </w:p>
        </w:tc>
        <w:tc>
          <w:tcPr>
            <w:tcW w:w="2734" w:type="dxa"/>
          </w:tcPr>
          <w:p w14:paraId="1E47CE5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все школьники района обучаются по ФГОС общего образования</w:t>
            </w:r>
          </w:p>
        </w:tc>
        <w:tc>
          <w:tcPr>
            <w:tcW w:w="2843" w:type="dxa"/>
          </w:tcPr>
          <w:p w14:paraId="43C389B7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все школьники района обучаются по ФГОС общего образования </w:t>
            </w:r>
          </w:p>
          <w:p w14:paraId="3F870E7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</w:rPr>
              <w:lastRenderedPageBreak/>
              <w:t>(16 образовательных учреждений, 3037 обучающихся)</w:t>
            </w:r>
          </w:p>
        </w:tc>
        <w:tc>
          <w:tcPr>
            <w:tcW w:w="2704" w:type="dxa"/>
          </w:tcPr>
          <w:p w14:paraId="3B42D50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0A7F439B" w14:textId="77777777" w:rsidTr="00493EB5">
        <w:tc>
          <w:tcPr>
            <w:tcW w:w="756" w:type="dxa"/>
            <w:shd w:val="clear" w:color="auto" w:fill="auto"/>
          </w:tcPr>
          <w:p w14:paraId="4BC3ACB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1.1.2.</w:t>
            </w:r>
          </w:p>
        </w:tc>
        <w:tc>
          <w:tcPr>
            <w:tcW w:w="2748" w:type="dxa"/>
          </w:tcPr>
          <w:p w14:paraId="2CC5E02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Ликвидация второй смены в общеобразовательных учреждениях района</w:t>
            </w:r>
          </w:p>
        </w:tc>
        <w:tc>
          <w:tcPr>
            <w:tcW w:w="2741" w:type="dxa"/>
          </w:tcPr>
          <w:p w14:paraId="3E34A1F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строительство (реконструкция, капитальный ремонт) не менее двух зданий общеобразовательных организаций района ежегодно</w:t>
            </w:r>
          </w:p>
        </w:tc>
        <w:tc>
          <w:tcPr>
            <w:tcW w:w="2734" w:type="dxa"/>
          </w:tcPr>
          <w:p w14:paraId="043749B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все школьники района обучаются в одну смену</w:t>
            </w:r>
          </w:p>
        </w:tc>
        <w:tc>
          <w:tcPr>
            <w:tcW w:w="2843" w:type="dxa"/>
          </w:tcPr>
          <w:p w14:paraId="5814C7E7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В 2024 году проведен комплексный капитальный ремонт двух школ района - МБОУ Многопрофильный лицей п. Чегдомын, МБОУ Железнодорожный лицей п. Новый Ургал.</w:t>
            </w:r>
          </w:p>
          <w:p w14:paraId="3045C681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В первую смену обучается 81% детей в 13 школах района.</w:t>
            </w:r>
          </w:p>
          <w:p w14:paraId="7FDD17A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В трех учреждениях для 19% обучающихся обучение ведется во вторую смену в связи с превышением плановой наполняемости школ (МБОУ Гимназия п. Чегдомын, МБОУ СОШ № 10 п. Чегдомын, МБОУ ЖДЛ п. Новый Ургал)</w:t>
            </w:r>
          </w:p>
        </w:tc>
        <w:tc>
          <w:tcPr>
            <w:tcW w:w="2704" w:type="dxa"/>
          </w:tcPr>
          <w:p w14:paraId="5FE25FB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1F05CC3C" w14:textId="77777777" w:rsidTr="00493EB5">
        <w:tc>
          <w:tcPr>
            <w:tcW w:w="756" w:type="dxa"/>
            <w:shd w:val="clear" w:color="auto" w:fill="auto"/>
          </w:tcPr>
          <w:p w14:paraId="4F514D67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2748" w:type="dxa"/>
          </w:tcPr>
          <w:p w14:paraId="7D1335D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741" w:type="dxa"/>
          </w:tcPr>
          <w:p w14:paraId="6504851D" w14:textId="77777777" w:rsidR="003705D0" w:rsidRPr="00D67E95" w:rsidRDefault="003705D0" w:rsidP="00493EB5">
            <w:pPr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развитие сферы физической культуры и спорта;</w:t>
            </w:r>
          </w:p>
          <w:p w14:paraId="7973A2D7" w14:textId="77777777" w:rsidR="003705D0" w:rsidRPr="00D67E95" w:rsidRDefault="003705D0" w:rsidP="00493EB5">
            <w:pPr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проведение на территории района физкультурных и</w:t>
            </w:r>
            <w:r w:rsidRPr="00D67E95">
              <w:rPr>
                <w:rStyle w:val="211pt"/>
                <w:rFonts w:eastAsia="Calibri"/>
                <w:color w:val="auto"/>
                <w:sz w:val="24"/>
                <w:szCs w:val="24"/>
              </w:rPr>
              <w:t xml:space="preserve"> спортивных мероприятий краевого уровня</w:t>
            </w:r>
          </w:p>
        </w:tc>
        <w:tc>
          <w:tcPr>
            <w:tcW w:w="2734" w:type="dxa"/>
          </w:tcPr>
          <w:p w14:paraId="643B153A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доли населения, регулярно занимающегося физической культурой и спортом до 50 % в 2025 году;</w:t>
            </w:r>
          </w:p>
          <w:p w14:paraId="49AA4D7A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увеличение доли жителей района, выполнивших нормативы ГТО, в общей численности населения, принявшего участие в выполнении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нормативов ГТО до 50 % в 2025 году</w:t>
            </w:r>
          </w:p>
        </w:tc>
        <w:tc>
          <w:tcPr>
            <w:tcW w:w="2843" w:type="dxa"/>
          </w:tcPr>
          <w:p w14:paraId="256B216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доля населения, регулярно занимающегося физической культурой и спортом, в 2024 году составила 61,3 %;</w:t>
            </w:r>
          </w:p>
          <w:p w14:paraId="19EC5AD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доля жителей района, выполнивших нормативы ГТО, в общей численности населения, принявшего участие в выполнении нормативов ГТО в 2024 году,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составила 42,5 %</w:t>
            </w:r>
          </w:p>
        </w:tc>
        <w:tc>
          <w:tcPr>
            <w:tcW w:w="2704" w:type="dxa"/>
          </w:tcPr>
          <w:p w14:paraId="1B6579F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33224128" w14:textId="77777777" w:rsidTr="00493EB5">
        <w:tc>
          <w:tcPr>
            <w:tcW w:w="756" w:type="dxa"/>
            <w:shd w:val="clear" w:color="auto" w:fill="auto"/>
          </w:tcPr>
          <w:p w14:paraId="3C78CDCC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2748" w:type="dxa"/>
          </w:tcPr>
          <w:p w14:paraId="017BE73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социально-культурной среды</w:t>
            </w:r>
          </w:p>
        </w:tc>
        <w:tc>
          <w:tcPr>
            <w:tcW w:w="2741" w:type="dxa"/>
          </w:tcPr>
          <w:p w14:paraId="09614C1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укрепление и модернизация материально-технической базы, развитие информационных ресурсов и технологий в сфере культуры</w:t>
            </w:r>
          </w:p>
        </w:tc>
        <w:tc>
          <w:tcPr>
            <w:tcW w:w="2734" w:type="dxa"/>
          </w:tcPr>
          <w:p w14:paraId="74B01F6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удельный вес зданий, закрепленных за учреждениями отрасли, прошедших капитальный ремонт, из числа нуждающихся в нем - не менее 75 %;</w:t>
            </w:r>
          </w:p>
          <w:p w14:paraId="23B0FDE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удельный вес учреждений отрасли, оснащенных специализированным оборудованием и музыкальными инструментами, к числу учреждений, нуждающихся в них - не менее 100 %</w:t>
            </w:r>
          </w:p>
        </w:tc>
        <w:tc>
          <w:tcPr>
            <w:tcW w:w="2843" w:type="dxa"/>
          </w:tcPr>
          <w:p w14:paraId="580A7757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В капитальном ремонте нуждаются 10 объектов учреждений культуры (СДК п. Герби, СДК п. Этыркэн, СДК п. Алонка, СДК п. Соло-ни, МКДУК «Дом Ветеранов», Краеведческий музей п. Чегдомын, МКУК Новоургальского городского поселения, кинотеатр «Ургал», РДК п. Чегдомын).</w:t>
            </w:r>
          </w:p>
          <w:p w14:paraId="2491235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Удельный вес зданий, закрепленных за учреждениями отрасли, прошедших капитальный ремонт, из числа нуждающихся в нем – 26,1 %.</w:t>
            </w:r>
          </w:p>
          <w:p w14:paraId="6F04A4AD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Удельный вес учреждений отрасли, оснащенных специализированным оборудованием и музыкальными инструментами, к числу учреждений, нуждающихся в них – 100 %</w:t>
            </w:r>
          </w:p>
        </w:tc>
        <w:tc>
          <w:tcPr>
            <w:tcW w:w="2704" w:type="dxa"/>
          </w:tcPr>
          <w:p w14:paraId="202E8147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За 2024 год частично отремонтирован РДК рп. Чегдомын, работы завершены в 2025 году</w:t>
            </w:r>
          </w:p>
        </w:tc>
      </w:tr>
      <w:tr w:rsidR="003705D0" w:rsidRPr="00D67E95" w14:paraId="5FB1AC6F" w14:textId="77777777" w:rsidTr="00493EB5">
        <w:tc>
          <w:tcPr>
            <w:tcW w:w="756" w:type="dxa"/>
            <w:shd w:val="clear" w:color="auto" w:fill="auto"/>
          </w:tcPr>
          <w:p w14:paraId="442A767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748" w:type="dxa"/>
          </w:tcPr>
          <w:p w14:paraId="2C10AD3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Задача 2. Создание благоприятной среды для жизни и развития человека</w:t>
            </w:r>
          </w:p>
        </w:tc>
        <w:tc>
          <w:tcPr>
            <w:tcW w:w="2741" w:type="dxa"/>
          </w:tcPr>
          <w:p w14:paraId="16D30BD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создание комфортных условий для жизнедеятельности в районе, содействие привлечению и закреплению в районе населения</w:t>
            </w:r>
          </w:p>
        </w:tc>
        <w:tc>
          <w:tcPr>
            <w:tcW w:w="2734" w:type="dxa"/>
          </w:tcPr>
          <w:p w14:paraId="3979717F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численности населения района до 26,0 тыс. человек в 2025 году;</w:t>
            </w:r>
          </w:p>
          <w:p w14:paraId="0303F8CC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миграционный прирост – 40 чел. на 10 тыс. населения (в 2025 году)</w:t>
            </w:r>
          </w:p>
        </w:tc>
        <w:tc>
          <w:tcPr>
            <w:tcW w:w="2843" w:type="dxa"/>
          </w:tcPr>
          <w:p w14:paraId="4A6C4D8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среднегодовая численность населения в 2024 году – 24,5 тыс. человек. Снижение по сравнению с 2023 годом составило – 0,5 %</w:t>
            </w:r>
          </w:p>
          <w:p w14:paraId="37E7F0D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 xml:space="preserve">Миграционный прирост в 2024 год – 173 чел. на 10 тыс. населения (в 2023 году убыль </w:t>
            </w:r>
            <w:r w:rsidRPr="00D67E95">
              <w:rPr>
                <w:sz w:val="24"/>
                <w:szCs w:val="24"/>
              </w:rPr>
              <w:lastRenderedPageBreak/>
              <w:t>составила 2</w:t>
            </w:r>
            <w:r w:rsidRPr="00D67E95">
              <w:t>63</w:t>
            </w:r>
            <w:r w:rsidRPr="00D67E95">
              <w:rPr>
                <w:sz w:val="24"/>
                <w:szCs w:val="24"/>
              </w:rPr>
              <w:t xml:space="preserve"> человека)</w:t>
            </w:r>
          </w:p>
        </w:tc>
        <w:tc>
          <w:tcPr>
            <w:tcW w:w="2704" w:type="dxa"/>
          </w:tcPr>
          <w:p w14:paraId="580F580C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040EDC63" w14:textId="77777777" w:rsidTr="00493EB5">
        <w:tc>
          <w:tcPr>
            <w:tcW w:w="756" w:type="dxa"/>
            <w:shd w:val="clear" w:color="auto" w:fill="auto"/>
          </w:tcPr>
          <w:p w14:paraId="3E3103A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2748" w:type="dxa"/>
          </w:tcPr>
          <w:p w14:paraId="7965012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Закрепление и привлечение населения на территории края</w:t>
            </w:r>
          </w:p>
        </w:tc>
        <w:tc>
          <w:tcPr>
            <w:tcW w:w="2741" w:type="dxa"/>
          </w:tcPr>
          <w:p w14:paraId="32E9B11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обеспечение комфортности для жизнедеятельности населения в районе</w:t>
            </w:r>
          </w:p>
        </w:tc>
        <w:tc>
          <w:tcPr>
            <w:tcW w:w="2734" w:type="dxa"/>
          </w:tcPr>
          <w:p w14:paraId="4A3CD39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14:paraId="1A8E463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14:paraId="5F275C5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03AE3997" w14:textId="77777777" w:rsidTr="00493EB5">
        <w:tc>
          <w:tcPr>
            <w:tcW w:w="756" w:type="dxa"/>
            <w:shd w:val="clear" w:color="auto" w:fill="auto"/>
          </w:tcPr>
          <w:p w14:paraId="492986D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sz w:val="24"/>
                <w:szCs w:val="24"/>
                <w:lang w:eastAsia="ru-RU" w:bidi="ru-RU"/>
              </w:rPr>
              <w:t>2.1.1.</w:t>
            </w:r>
          </w:p>
        </w:tc>
        <w:tc>
          <w:tcPr>
            <w:tcW w:w="2748" w:type="dxa"/>
          </w:tcPr>
          <w:p w14:paraId="592623B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жилищного строительства в крае</w:t>
            </w:r>
          </w:p>
        </w:tc>
        <w:tc>
          <w:tcPr>
            <w:tcW w:w="2741" w:type="dxa"/>
          </w:tcPr>
          <w:p w14:paraId="2735263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наемного жилищного фонда социального и коммерческого использования;</w:t>
            </w:r>
          </w:p>
          <w:p w14:paraId="3D087DD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предоставление государственной поддержки гражданам для строительства (приобретения) жилья</w:t>
            </w:r>
          </w:p>
        </w:tc>
        <w:tc>
          <w:tcPr>
            <w:tcW w:w="2734" w:type="dxa"/>
          </w:tcPr>
          <w:p w14:paraId="09D0D490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bookmarkStart w:id="1" w:name="_Hlk105579888"/>
            <w:r w:rsidRPr="00D67E95">
              <w:rPr>
                <w:rStyle w:val="211pt"/>
                <w:color w:val="auto"/>
                <w:sz w:val="24"/>
                <w:szCs w:val="24"/>
              </w:rPr>
              <w:t>ввод в действие жилых домов в 2021 году – 5,0 тыс. кв. м общей площади</w:t>
            </w:r>
            <w:bookmarkEnd w:id="1"/>
          </w:p>
        </w:tc>
        <w:tc>
          <w:tcPr>
            <w:tcW w:w="2843" w:type="dxa"/>
          </w:tcPr>
          <w:p w14:paraId="2B774CE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ввод в действие жилых домов в 2024 году – 0</w:t>
            </w:r>
            <w:r w:rsidRPr="00D67E95">
              <w:rPr>
                <w:rStyle w:val="211pt"/>
                <w:color w:val="auto"/>
              </w:rPr>
              <w:t>,66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 тыс. кв. м;</w:t>
            </w:r>
          </w:p>
          <w:p w14:paraId="1ACE741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24 молодые семьи в 2024 году получили выплаты на улучшение жилищных условий</w:t>
            </w:r>
          </w:p>
        </w:tc>
        <w:tc>
          <w:tcPr>
            <w:tcW w:w="2704" w:type="dxa"/>
          </w:tcPr>
          <w:p w14:paraId="7D4964D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6CBDC9EE" w14:textId="77777777" w:rsidTr="00493EB5">
        <w:tc>
          <w:tcPr>
            <w:tcW w:w="756" w:type="dxa"/>
            <w:shd w:val="clear" w:color="auto" w:fill="auto"/>
          </w:tcPr>
          <w:p w14:paraId="4DE4133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2.2.</w:t>
            </w:r>
          </w:p>
        </w:tc>
        <w:tc>
          <w:tcPr>
            <w:tcW w:w="2748" w:type="dxa"/>
          </w:tcPr>
          <w:p w14:paraId="41C2427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Транспортное обслуживание населения по муниципальным маршрутам, городском, пригородном междугородном сообщении автомобильным транспортом</w:t>
            </w:r>
          </w:p>
        </w:tc>
        <w:tc>
          <w:tcPr>
            <w:tcW w:w="2741" w:type="dxa"/>
          </w:tcPr>
          <w:p w14:paraId="547D3B2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субсидирование пассажирских перевозок;</w:t>
            </w:r>
          </w:p>
          <w:p w14:paraId="63542D0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опорной сети автомобильных дорог</w:t>
            </w:r>
          </w:p>
        </w:tc>
        <w:tc>
          <w:tcPr>
            <w:tcW w:w="2734" w:type="dxa"/>
          </w:tcPr>
          <w:p w14:paraId="2F502CC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количество субсидируемых в 2025 году маршрутов автомобильного транспорта – 3</w:t>
            </w:r>
          </w:p>
        </w:tc>
        <w:tc>
          <w:tcPr>
            <w:tcW w:w="2843" w:type="dxa"/>
          </w:tcPr>
          <w:p w14:paraId="31D3845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Бюджетное финансирование пассажирских перевозок по 4 маршрутам:</w:t>
            </w:r>
          </w:p>
          <w:p w14:paraId="1A8915F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№ 3, 102м (городские),</w:t>
            </w:r>
          </w:p>
          <w:p w14:paraId="181B563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№ 101, 103 (пригородные)</w:t>
            </w:r>
          </w:p>
        </w:tc>
        <w:tc>
          <w:tcPr>
            <w:tcW w:w="2704" w:type="dxa"/>
          </w:tcPr>
          <w:p w14:paraId="6BC7D83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00CC98F0" w14:textId="77777777" w:rsidTr="00493EB5">
        <w:tc>
          <w:tcPr>
            <w:tcW w:w="756" w:type="dxa"/>
            <w:shd w:val="clear" w:color="auto" w:fill="auto"/>
          </w:tcPr>
          <w:p w14:paraId="47F8B2A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2.3.</w:t>
            </w:r>
          </w:p>
        </w:tc>
        <w:tc>
          <w:tcPr>
            <w:tcW w:w="2748" w:type="dxa"/>
          </w:tcPr>
          <w:p w14:paraId="2AEAD95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Повышение уровня благоустройства населенных пунктов района и качества окружающей среды</w:t>
            </w:r>
          </w:p>
        </w:tc>
        <w:tc>
          <w:tcPr>
            <w:tcW w:w="2741" w:type="dxa"/>
          </w:tcPr>
          <w:p w14:paraId="0EA066D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повышение комфортности проживания населения в районе</w:t>
            </w:r>
          </w:p>
        </w:tc>
        <w:tc>
          <w:tcPr>
            <w:tcW w:w="2734" w:type="dxa"/>
          </w:tcPr>
          <w:p w14:paraId="3A966BEC" w14:textId="77777777" w:rsidR="003705D0" w:rsidRPr="00D67E95" w:rsidRDefault="003705D0" w:rsidP="00493EB5">
            <w:pPr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14:paraId="37B7157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14:paraId="05BEB90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44100D9E" w14:textId="77777777" w:rsidTr="00493EB5">
        <w:tc>
          <w:tcPr>
            <w:tcW w:w="756" w:type="dxa"/>
            <w:shd w:val="clear" w:color="auto" w:fill="auto"/>
          </w:tcPr>
          <w:p w14:paraId="4413D16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2.3.1.</w:t>
            </w:r>
          </w:p>
        </w:tc>
        <w:tc>
          <w:tcPr>
            <w:tcW w:w="2748" w:type="dxa"/>
          </w:tcPr>
          <w:p w14:paraId="4756432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Реализация региональной программы формирования современной городской среды в рамках приоритетного проекта "Формирование комфортной городской среды"</w:t>
            </w:r>
          </w:p>
        </w:tc>
        <w:tc>
          <w:tcPr>
            <w:tcW w:w="2741" w:type="dxa"/>
          </w:tcPr>
          <w:p w14:paraId="535BEEF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реализация проектов, направленных на формирование комфортной городской среды на территории района</w:t>
            </w:r>
          </w:p>
        </w:tc>
        <w:tc>
          <w:tcPr>
            <w:tcW w:w="2734" w:type="dxa"/>
          </w:tcPr>
          <w:p w14:paraId="08EB368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2" w:name="_Hlk105580162"/>
            <w:r w:rsidRPr="00D67E95">
              <w:rPr>
                <w:rStyle w:val="211pt"/>
                <w:color w:val="auto"/>
                <w:sz w:val="24"/>
                <w:szCs w:val="24"/>
              </w:rPr>
              <w:t>обеспечение благоустройства не менее 40 дворовых территорий и не менее 6 общественных пространств к 2025 году</w:t>
            </w:r>
            <w:bookmarkEnd w:id="2"/>
          </w:p>
        </w:tc>
        <w:tc>
          <w:tcPr>
            <w:tcW w:w="2843" w:type="dxa"/>
          </w:tcPr>
          <w:p w14:paraId="42968BE4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В 2024 году благоустроено 8 общественных территорий: на общую сумму 18,4 млн рублей:</w:t>
            </w:r>
          </w:p>
          <w:p w14:paraId="248176EE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1) городское поселение "Рабочий поселок Чегдомын" – 3 территории;</w:t>
            </w:r>
          </w:p>
          <w:p w14:paraId="15BC5EC8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 xml:space="preserve">2) Новоургальское городское поселение – 2 </w:t>
            </w:r>
            <w:r w:rsidRPr="00D67E95">
              <w:rPr>
                <w:sz w:val="24"/>
                <w:szCs w:val="24"/>
              </w:rPr>
              <w:lastRenderedPageBreak/>
              <w:t>территории;</w:t>
            </w:r>
          </w:p>
          <w:p w14:paraId="768CDBB8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3) Тырминское сельское поселение – 3 территории.</w:t>
            </w:r>
          </w:p>
          <w:p w14:paraId="14D6237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В рамках программы "Благоустройство дальневосточных дворов" в городском поселении "Рабочий поселок Чегдомын" благоустроено 3 дворовые территории на общую сумму 21,9 млн рублей</w:t>
            </w:r>
          </w:p>
        </w:tc>
        <w:tc>
          <w:tcPr>
            <w:tcW w:w="2704" w:type="dxa"/>
          </w:tcPr>
          <w:p w14:paraId="761B95B9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 xml:space="preserve">За период с 2021 по 2024 год в районе в трех муниципальных образованиях (городское поселение "Рабочий поселок Чегдомын", Новоургальское городское поселение, Тырминское сельское поселение) </w:t>
            </w:r>
            <w:r w:rsidRPr="00D67E95">
              <w:rPr>
                <w:sz w:val="24"/>
                <w:szCs w:val="24"/>
              </w:rPr>
              <w:lastRenderedPageBreak/>
              <w:t>благоустроено 24 общественные территории на общую сумму 58,2 млн рублей.</w:t>
            </w:r>
          </w:p>
          <w:p w14:paraId="1B4BBFF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За период с 2021 по 2024 год в двух муниципальных образованиях (городское поселение "Рабочий поселок Чегдомын", Новоургальское городское поселение) благоустроено 11 дворовых территорий на общую сумму 68,2 млн рублей</w:t>
            </w:r>
          </w:p>
        </w:tc>
      </w:tr>
      <w:tr w:rsidR="003705D0" w:rsidRPr="00D67E95" w14:paraId="749CB272" w14:textId="77777777" w:rsidTr="00493EB5">
        <w:tc>
          <w:tcPr>
            <w:tcW w:w="756" w:type="dxa"/>
            <w:shd w:val="clear" w:color="auto" w:fill="auto"/>
          </w:tcPr>
          <w:p w14:paraId="36E74AA7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748" w:type="dxa"/>
          </w:tcPr>
          <w:p w14:paraId="6227C3D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Защита окружающий среды</w:t>
            </w:r>
          </w:p>
        </w:tc>
        <w:tc>
          <w:tcPr>
            <w:tcW w:w="2741" w:type="dxa"/>
          </w:tcPr>
          <w:p w14:paraId="2A91849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системы обращения с твердыми коммунальными отходами;</w:t>
            </w:r>
          </w:p>
          <w:p w14:paraId="2B97B0F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реализация комплекса мер по улучшению экологической ситуации</w:t>
            </w:r>
          </w:p>
        </w:tc>
        <w:tc>
          <w:tcPr>
            <w:tcW w:w="2734" w:type="dxa"/>
          </w:tcPr>
          <w:p w14:paraId="756D3BC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3" w:name="_Hlk105581870"/>
            <w:r w:rsidRPr="00D67E95">
              <w:rPr>
                <w:rStyle w:val="211pt"/>
                <w:color w:val="auto"/>
                <w:sz w:val="24"/>
                <w:szCs w:val="24"/>
              </w:rPr>
              <w:t>строительство двух объектов размещения коммунальных отходов, отвечающих требованиям природоохранного и санитарно-эпидемиологического законодательства к 2025 году</w:t>
            </w:r>
            <w:bookmarkEnd w:id="3"/>
          </w:p>
        </w:tc>
        <w:tc>
          <w:tcPr>
            <w:tcW w:w="2843" w:type="dxa"/>
          </w:tcPr>
          <w:p w14:paraId="7A9B8D7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 xml:space="preserve">Ориентировочно определен земельный участок для строительства полигона твердых коммунальных отходов в п. Чегдомын. </w:t>
            </w:r>
          </w:p>
          <w:p w14:paraId="3C8F33B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Объекты размещения отходов в 2024 году не строились</w:t>
            </w:r>
          </w:p>
        </w:tc>
        <w:tc>
          <w:tcPr>
            <w:tcW w:w="2704" w:type="dxa"/>
          </w:tcPr>
          <w:p w14:paraId="5CC109A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6A3B1AF3" w14:textId="77777777" w:rsidTr="00493EB5">
        <w:tc>
          <w:tcPr>
            <w:tcW w:w="756" w:type="dxa"/>
            <w:shd w:val="clear" w:color="auto" w:fill="auto"/>
          </w:tcPr>
          <w:p w14:paraId="3A76AAA3" w14:textId="77777777" w:rsidR="003705D0" w:rsidRPr="00D67E95" w:rsidRDefault="003705D0" w:rsidP="00493EB5">
            <w:pPr>
              <w:pStyle w:val="20"/>
              <w:shd w:val="clear" w:color="auto" w:fill="auto"/>
              <w:spacing w:after="0" w:line="240" w:lineRule="exact"/>
              <w:rPr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48" w:type="dxa"/>
            <w:shd w:val="clear" w:color="auto" w:fill="auto"/>
          </w:tcPr>
          <w:p w14:paraId="757D065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D67E95">
              <w:rPr>
                <w:rStyle w:val="211pt"/>
                <w:b/>
                <w:color w:val="auto"/>
                <w:sz w:val="24"/>
                <w:szCs w:val="24"/>
              </w:rPr>
              <w:t>Цель № 2 стратегии</w:t>
            </w:r>
          </w:p>
        </w:tc>
        <w:tc>
          <w:tcPr>
            <w:tcW w:w="11022" w:type="dxa"/>
            <w:gridSpan w:val="4"/>
          </w:tcPr>
          <w:p w14:paraId="5869B46A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D67E95">
              <w:rPr>
                <w:rStyle w:val="211pt"/>
                <w:b/>
                <w:color w:val="auto"/>
                <w:sz w:val="24"/>
                <w:szCs w:val="24"/>
              </w:rPr>
              <w:t>Создание комфортного пространства для жизни и экономической деятельности</w:t>
            </w:r>
          </w:p>
        </w:tc>
      </w:tr>
      <w:tr w:rsidR="003705D0" w:rsidRPr="00D67E95" w14:paraId="798C644E" w14:textId="77777777" w:rsidTr="00493EB5">
        <w:tc>
          <w:tcPr>
            <w:tcW w:w="756" w:type="dxa"/>
            <w:shd w:val="clear" w:color="auto" w:fill="auto"/>
          </w:tcPr>
          <w:p w14:paraId="7885D15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3.</w:t>
            </w:r>
          </w:p>
        </w:tc>
        <w:tc>
          <w:tcPr>
            <w:tcW w:w="2748" w:type="dxa"/>
          </w:tcPr>
          <w:p w14:paraId="40BBDFA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Задача 3. Реализация эффективной модели пространственной организации и организации экономической жизни</w:t>
            </w:r>
          </w:p>
        </w:tc>
        <w:tc>
          <w:tcPr>
            <w:tcW w:w="2741" w:type="dxa"/>
          </w:tcPr>
          <w:p w14:paraId="027ED6D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пространственных полюсов роста и центров развития</w:t>
            </w:r>
          </w:p>
        </w:tc>
        <w:tc>
          <w:tcPr>
            <w:tcW w:w="2734" w:type="dxa"/>
          </w:tcPr>
          <w:p w14:paraId="5703D3A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bookmarkStart w:id="4" w:name="_Hlk105582118"/>
            <w:r w:rsidRPr="00D67E95">
              <w:rPr>
                <w:rStyle w:val="211pt"/>
                <w:color w:val="auto"/>
                <w:sz w:val="24"/>
                <w:szCs w:val="24"/>
              </w:rPr>
              <w:t>рост инвестиций в основной капитал;</w:t>
            </w:r>
          </w:p>
          <w:p w14:paraId="48DBDC07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создание новых рабочих мест</w:t>
            </w:r>
            <w:bookmarkEnd w:id="4"/>
          </w:p>
        </w:tc>
        <w:tc>
          <w:tcPr>
            <w:tcW w:w="2843" w:type="dxa"/>
          </w:tcPr>
          <w:p w14:paraId="3594DD0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привлечено инвестиций в основной капитал за 2024 год – 16,0 млрд. рублей (за 2023 год – 12,7 млрд. рублей), прирост составил 26,0 %.</w:t>
            </w:r>
          </w:p>
          <w:p w14:paraId="2AEFF8E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Создано 1553 рабочих места</w:t>
            </w:r>
          </w:p>
        </w:tc>
        <w:tc>
          <w:tcPr>
            <w:tcW w:w="2704" w:type="dxa"/>
          </w:tcPr>
          <w:p w14:paraId="532CD24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51E00CEC" w14:textId="77777777" w:rsidTr="00493EB5">
        <w:tc>
          <w:tcPr>
            <w:tcW w:w="756" w:type="dxa"/>
            <w:shd w:val="clear" w:color="auto" w:fill="auto"/>
          </w:tcPr>
          <w:p w14:paraId="19F0F51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3.1.</w:t>
            </w:r>
          </w:p>
        </w:tc>
        <w:tc>
          <w:tcPr>
            <w:tcW w:w="2748" w:type="dxa"/>
          </w:tcPr>
          <w:p w14:paraId="4BF7CE8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Комплексное развитие городского поселения "Рабочий поселок "Чегдомын" Верхнебуреинского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741" w:type="dxa"/>
          </w:tcPr>
          <w:p w14:paraId="7CBAA99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привлечение инвесторов</w:t>
            </w:r>
          </w:p>
        </w:tc>
        <w:tc>
          <w:tcPr>
            <w:tcW w:w="2734" w:type="dxa"/>
          </w:tcPr>
          <w:p w14:paraId="200A026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объема привлеченных инвестиций;</w:t>
            </w:r>
          </w:p>
          <w:p w14:paraId="3B0B8BA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5" w:name="_Hlk105582907"/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реализация на территории </w:t>
            </w:r>
            <w:proofErr w:type="spellStart"/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монопоселения</w:t>
            </w:r>
            <w:proofErr w:type="spellEnd"/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7E95">
              <w:rPr>
                <w:rStyle w:val="211pt"/>
                <w:color w:val="auto"/>
                <w:sz w:val="24"/>
                <w:szCs w:val="24"/>
              </w:rPr>
              <w:t>рп</w:t>
            </w:r>
            <w:proofErr w:type="spellEnd"/>
            <w:r w:rsidRPr="00D67E95">
              <w:rPr>
                <w:rStyle w:val="211pt"/>
                <w:color w:val="auto"/>
                <w:sz w:val="24"/>
                <w:szCs w:val="24"/>
              </w:rPr>
              <w:t>. Чегдомын инвестиционных проектов</w:t>
            </w:r>
            <w:bookmarkEnd w:id="5"/>
          </w:p>
        </w:tc>
        <w:tc>
          <w:tcPr>
            <w:tcW w:w="2843" w:type="dxa"/>
          </w:tcPr>
          <w:p w14:paraId="44F86146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 xml:space="preserve">На территории городского поселения "Рабочий поселок Чегдомын" действует инвестиционный проект АО "Ургалуголь" </w:t>
            </w:r>
            <w:r w:rsidRPr="00D67E95">
              <w:rPr>
                <w:sz w:val="24"/>
                <w:szCs w:val="24"/>
              </w:rPr>
              <w:lastRenderedPageBreak/>
              <w:t>"Увеличение добычи угля на "Ургальском каменноугольном место-рождении"</w:t>
            </w:r>
          </w:p>
        </w:tc>
        <w:tc>
          <w:tcPr>
            <w:tcW w:w="2704" w:type="dxa"/>
          </w:tcPr>
          <w:p w14:paraId="07B8A6B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6" w:name="_Hlk105582914"/>
            <w:r w:rsidRPr="00D67E95">
              <w:rPr>
                <w:sz w:val="24"/>
                <w:szCs w:val="24"/>
              </w:rPr>
              <w:lastRenderedPageBreak/>
              <w:t>Программа "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Комплексное развитие городского поселения "Рабочий поселок "Чегдомын" Верхнебуреинского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муниципального района</w:t>
            </w:r>
            <w:r w:rsidRPr="00D67E95">
              <w:rPr>
                <w:sz w:val="24"/>
                <w:szCs w:val="24"/>
              </w:rPr>
              <w:t>" закрыта в 2020 году</w:t>
            </w:r>
            <w:bookmarkEnd w:id="6"/>
          </w:p>
        </w:tc>
      </w:tr>
      <w:tr w:rsidR="003705D0" w:rsidRPr="00D67E95" w14:paraId="567EEDF4" w14:textId="77777777" w:rsidTr="00493EB5">
        <w:tc>
          <w:tcPr>
            <w:tcW w:w="756" w:type="dxa"/>
            <w:shd w:val="clear" w:color="auto" w:fill="auto"/>
          </w:tcPr>
          <w:p w14:paraId="1B5CA92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48" w:type="dxa"/>
          </w:tcPr>
          <w:p w14:paraId="4CD21AD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Задача 4. Развитие инфраструктурного каркаса</w:t>
            </w:r>
          </w:p>
        </w:tc>
        <w:tc>
          <w:tcPr>
            <w:tcW w:w="2741" w:type="dxa"/>
          </w:tcPr>
          <w:p w14:paraId="335C12C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транспортной инфраструктуры и коммунальной энергетики</w:t>
            </w:r>
          </w:p>
        </w:tc>
        <w:tc>
          <w:tcPr>
            <w:tcW w:w="2734" w:type="dxa"/>
          </w:tcPr>
          <w:p w14:paraId="6E4A2FD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14:paraId="2F1B38F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14:paraId="4265CD3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2FE6CF32" w14:textId="77777777" w:rsidTr="00493EB5">
        <w:tc>
          <w:tcPr>
            <w:tcW w:w="756" w:type="dxa"/>
            <w:shd w:val="clear" w:color="auto" w:fill="auto"/>
          </w:tcPr>
          <w:p w14:paraId="5E7B993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7E95">
              <w:rPr>
                <w:sz w:val="24"/>
                <w:szCs w:val="24"/>
                <w:shd w:val="clear" w:color="auto" w:fill="FFFFFF"/>
                <w:lang w:eastAsia="ru-RU" w:bidi="ru-RU"/>
              </w:rPr>
              <w:t>4.1.</w:t>
            </w:r>
          </w:p>
        </w:tc>
        <w:tc>
          <w:tcPr>
            <w:tcW w:w="2748" w:type="dxa"/>
          </w:tcPr>
          <w:p w14:paraId="46B171D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сети дорог района</w:t>
            </w:r>
          </w:p>
        </w:tc>
        <w:tc>
          <w:tcPr>
            <w:tcW w:w="2741" w:type="dxa"/>
          </w:tcPr>
          <w:p w14:paraId="20698BB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строительство и реконструкция дорог местного значения</w:t>
            </w:r>
          </w:p>
        </w:tc>
        <w:tc>
          <w:tcPr>
            <w:tcW w:w="2734" w:type="dxa"/>
          </w:tcPr>
          <w:p w14:paraId="0C22BFC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транспортно-эксплуатационному состоянию, по результатам строительства и реконструкции</w:t>
            </w:r>
          </w:p>
        </w:tc>
        <w:tc>
          <w:tcPr>
            <w:tcW w:w="2843" w:type="dxa"/>
          </w:tcPr>
          <w:p w14:paraId="2C251C2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Строительство и реконструкция дорог в 2024 году на сети дорог района не осуществлялось.</w:t>
            </w:r>
          </w:p>
          <w:p w14:paraId="26B4CCB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Доля протяженности автомобильных дорог местного значения, соответствующих нормативным требованиям, составляет 82,7 %</w:t>
            </w:r>
          </w:p>
        </w:tc>
        <w:tc>
          <w:tcPr>
            <w:tcW w:w="2704" w:type="dxa"/>
          </w:tcPr>
          <w:p w14:paraId="011F7C0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599AF191" w14:textId="77777777" w:rsidTr="00493EB5">
        <w:tc>
          <w:tcPr>
            <w:tcW w:w="756" w:type="dxa"/>
            <w:shd w:val="clear" w:color="auto" w:fill="auto"/>
          </w:tcPr>
          <w:p w14:paraId="44A78E27" w14:textId="77777777" w:rsidR="003705D0" w:rsidRPr="00D67E95" w:rsidRDefault="003705D0" w:rsidP="00493EB5">
            <w:pPr>
              <w:pStyle w:val="20"/>
              <w:shd w:val="clear" w:color="auto" w:fill="auto"/>
              <w:spacing w:after="0" w:line="240" w:lineRule="exact"/>
              <w:rPr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48" w:type="dxa"/>
          </w:tcPr>
          <w:p w14:paraId="6B053D1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D67E95">
              <w:rPr>
                <w:rStyle w:val="211pt"/>
                <w:b/>
                <w:color w:val="auto"/>
                <w:sz w:val="24"/>
                <w:szCs w:val="24"/>
              </w:rPr>
              <w:t>Цель № 3 стратегии</w:t>
            </w:r>
          </w:p>
        </w:tc>
        <w:tc>
          <w:tcPr>
            <w:tcW w:w="11022" w:type="dxa"/>
            <w:gridSpan w:val="4"/>
          </w:tcPr>
          <w:p w14:paraId="4306092E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D67E95">
              <w:rPr>
                <w:rStyle w:val="211pt"/>
                <w:b/>
                <w:color w:val="auto"/>
                <w:sz w:val="24"/>
                <w:szCs w:val="24"/>
              </w:rPr>
              <w:t>Рост конкурентоспособности на основе новой индустриализации, модернизации и инноваций</w:t>
            </w:r>
          </w:p>
        </w:tc>
      </w:tr>
      <w:tr w:rsidR="003705D0" w:rsidRPr="00D67E95" w14:paraId="068DDD82" w14:textId="77777777" w:rsidTr="00493EB5">
        <w:tc>
          <w:tcPr>
            <w:tcW w:w="756" w:type="dxa"/>
            <w:shd w:val="clear" w:color="auto" w:fill="auto"/>
          </w:tcPr>
          <w:p w14:paraId="283228E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5.</w:t>
            </w:r>
          </w:p>
        </w:tc>
        <w:tc>
          <w:tcPr>
            <w:tcW w:w="2748" w:type="dxa"/>
          </w:tcPr>
          <w:p w14:paraId="275929D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Задача 5. Модернизация экономической структуры и экономического поведения экономических агентов, реализация идеи новой индустриализации</w:t>
            </w:r>
          </w:p>
        </w:tc>
        <w:tc>
          <w:tcPr>
            <w:tcW w:w="2741" w:type="dxa"/>
          </w:tcPr>
          <w:p w14:paraId="22A644B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отраслей экономики</w:t>
            </w:r>
          </w:p>
        </w:tc>
        <w:tc>
          <w:tcPr>
            <w:tcW w:w="2734" w:type="dxa"/>
          </w:tcPr>
          <w:p w14:paraId="5FA6074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индекс роста объема оборота – 279,3 % (2025 год к 2016 году)</w:t>
            </w:r>
          </w:p>
        </w:tc>
        <w:tc>
          <w:tcPr>
            <w:tcW w:w="2843" w:type="dxa"/>
          </w:tcPr>
          <w:p w14:paraId="7F7110F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т</w:t>
            </w:r>
            <w:r w:rsidRPr="00D67E95">
              <w:rPr>
                <w:rStyle w:val="211pt"/>
                <w:color w:val="auto"/>
              </w:rPr>
              <w:t>емп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 роста объема оборота в</w:t>
            </w:r>
            <w:r w:rsidRPr="00D67E95">
              <w:rPr>
                <w:rStyle w:val="211pt"/>
                <w:color w:val="auto"/>
              </w:rPr>
              <w:t xml:space="preserve"> 2024 году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t>составил 89,4 % относительно высокой базы 2023 года</w:t>
            </w:r>
          </w:p>
        </w:tc>
        <w:tc>
          <w:tcPr>
            <w:tcW w:w="2704" w:type="dxa"/>
          </w:tcPr>
          <w:p w14:paraId="2FA5CBF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3EE17428" w14:textId="77777777" w:rsidTr="00493EB5">
        <w:tc>
          <w:tcPr>
            <w:tcW w:w="756" w:type="dxa"/>
            <w:shd w:val="clear" w:color="auto" w:fill="auto"/>
          </w:tcPr>
          <w:p w14:paraId="0B77687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5.1.</w:t>
            </w:r>
          </w:p>
        </w:tc>
        <w:tc>
          <w:tcPr>
            <w:tcW w:w="2748" w:type="dxa"/>
          </w:tcPr>
          <w:p w14:paraId="7EF0805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сельского хозяйства и агропромышленного комплекса</w:t>
            </w:r>
          </w:p>
        </w:tc>
        <w:tc>
          <w:tcPr>
            <w:tcW w:w="2741" w:type="dxa"/>
          </w:tcPr>
          <w:p w14:paraId="6B77756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растениеводства, животноводства;</w:t>
            </w:r>
          </w:p>
          <w:p w14:paraId="60DF991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2734" w:type="dxa"/>
          </w:tcPr>
          <w:p w14:paraId="7D016C8F" w14:textId="77777777" w:rsidR="003705D0" w:rsidRPr="00D67E95" w:rsidRDefault="003705D0" w:rsidP="00493EB5">
            <w:pPr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увеличение производства сельскохозяйственной продукции</w:t>
            </w:r>
          </w:p>
        </w:tc>
        <w:tc>
          <w:tcPr>
            <w:tcW w:w="2843" w:type="dxa"/>
          </w:tcPr>
          <w:p w14:paraId="3AAE9C4A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bookmarkStart w:id="7" w:name="_Hlk167974946"/>
            <w:r w:rsidRPr="00D67E95">
              <w:rPr>
                <w:sz w:val="24"/>
                <w:szCs w:val="24"/>
              </w:rPr>
              <w:t>Индекс производства скота и птицы в хозяйствах всех категорий в 2024 году – 87,6% к 2023 году</w:t>
            </w:r>
          </w:p>
          <w:p w14:paraId="57AEA3EA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Индекс производства молока в хозяйствах всех категорий в 2024 году – 8</w:t>
            </w:r>
            <w:r w:rsidRPr="00D67E95">
              <w:t>8,9</w:t>
            </w:r>
            <w:r w:rsidRPr="00D67E95">
              <w:rPr>
                <w:sz w:val="24"/>
                <w:szCs w:val="24"/>
              </w:rPr>
              <w:t xml:space="preserve"> % к 2023 году</w:t>
            </w:r>
          </w:p>
          <w:p w14:paraId="61D32A7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 xml:space="preserve">Индекс производства яиц в хозяйствах всех </w:t>
            </w:r>
            <w:r w:rsidRPr="00D67E95">
              <w:rPr>
                <w:sz w:val="24"/>
                <w:szCs w:val="24"/>
              </w:rPr>
              <w:lastRenderedPageBreak/>
              <w:t>категорий в 2024 году – 9</w:t>
            </w:r>
            <w:r w:rsidRPr="00D67E95">
              <w:t>8,0</w:t>
            </w:r>
            <w:r w:rsidRPr="00D67E95">
              <w:rPr>
                <w:sz w:val="24"/>
                <w:szCs w:val="24"/>
              </w:rPr>
              <w:t> % к 2023 году</w:t>
            </w:r>
            <w:bookmarkEnd w:id="7"/>
          </w:p>
        </w:tc>
        <w:tc>
          <w:tcPr>
            <w:tcW w:w="2704" w:type="dxa"/>
          </w:tcPr>
          <w:p w14:paraId="7D10E4A1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>Сохраняется тенденция уменьшения численности хозяйств населения и сокращения поголовья сельскохозяйственных животных.</w:t>
            </w:r>
          </w:p>
          <w:p w14:paraId="0C1FE6A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 xml:space="preserve">В 2024 году на территории района в животноводческой отрасли заняты только </w:t>
            </w:r>
            <w:r w:rsidRPr="00D67E95">
              <w:rPr>
                <w:sz w:val="24"/>
                <w:szCs w:val="24"/>
              </w:rPr>
              <w:lastRenderedPageBreak/>
              <w:t>хозяйства населения, растениеводством заняты КФХ Куликов М.Г. (выращивание картофеля) и хозяйства населения</w:t>
            </w:r>
          </w:p>
        </w:tc>
      </w:tr>
      <w:tr w:rsidR="003705D0" w:rsidRPr="00D67E95" w14:paraId="5F3146B1" w14:textId="77777777" w:rsidTr="00493EB5">
        <w:tc>
          <w:tcPr>
            <w:tcW w:w="756" w:type="dxa"/>
            <w:shd w:val="clear" w:color="auto" w:fill="auto"/>
          </w:tcPr>
          <w:p w14:paraId="6A31FF4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2748" w:type="dxa"/>
          </w:tcPr>
          <w:p w14:paraId="1B1BB52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Обеспечение продовольственной безопасности района по основным видам продукции растениеводства и животноводства и повышение конкурентоспособности растениеводческой и животноводческой продукции, производимой сельскохозяйственными товаропроизводителями района</w:t>
            </w:r>
          </w:p>
        </w:tc>
        <w:tc>
          <w:tcPr>
            <w:tcW w:w="2741" w:type="dxa"/>
          </w:tcPr>
          <w:p w14:paraId="1100F83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растениеводства, животноводства;</w:t>
            </w:r>
          </w:p>
          <w:p w14:paraId="6D3E995C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малых форм хозяйствования;</w:t>
            </w:r>
          </w:p>
          <w:p w14:paraId="158E60A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повышение эффективности и продуктивности сельскохозяйственного производства</w:t>
            </w:r>
          </w:p>
        </w:tc>
        <w:tc>
          <w:tcPr>
            <w:tcW w:w="2734" w:type="dxa"/>
          </w:tcPr>
          <w:p w14:paraId="121E8E7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8" w:name="_Hlk105582993"/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производства сельскохозяйственной продукции малыми формами хозяйствования на 107,0 % (в 2025 году к 2016 году)</w:t>
            </w:r>
            <w:bookmarkEnd w:id="8"/>
            <w:r w:rsidRPr="00D67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</w:tcPr>
          <w:p w14:paraId="394BE34A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Индекс производства скота и птицы в ЛПХ и КФХ в 2024 году – 87,6% к 2023 году, молока – 88,9 % к 2023 году, яиц – 98,0 % к 2023 году</w:t>
            </w:r>
          </w:p>
        </w:tc>
        <w:tc>
          <w:tcPr>
            <w:tcW w:w="2704" w:type="dxa"/>
          </w:tcPr>
          <w:p w14:paraId="2F5B5DFC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За счет сокращения количества ЛПХ в районе, вследствие уменьшения численности сельского населения</w:t>
            </w:r>
          </w:p>
        </w:tc>
      </w:tr>
      <w:tr w:rsidR="003705D0" w:rsidRPr="00D67E95" w14:paraId="24C83581" w14:textId="77777777" w:rsidTr="00493EB5">
        <w:tc>
          <w:tcPr>
            <w:tcW w:w="756" w:type="dxa"/>
            <w:shd w:val="clear" w:color="auto" w:fill="auto"/>
          </w:tcPr>
          <w:p w14:paraId="0071CC5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5.1.2.</w:t>
            </w:r>
          </w:p>
        </w:tc>
        <w:tc>
          <w:tcPr>
            <w:tcW w:w="2748" w:type="dxa"/>
          </w:tcPr>
          <w:p w14:paraId="28B90FD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Формирование и обеспечение функционирования </w:t>
            </w:r>
            <w:proofErr w:type="spellStart"/>
            <w:r w:rsidRPr="00D67E95">
              <w:rPr>
                <w:rStyle w:val="211pt"/>
                <w:color w:val="auto"/>
                <w:sz w:val="24"/>
                <w:szCs w:val="24"/>
              </w:rPr>
              <w:t>многоформатной</w:t>
            </w:r>
            <w:proofErr w:type="spellEnd"/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 товаропроводящей системы</w:t>
            </w:r>
          </w:p>
        </w:tc>
        <w:tc>
          <w:tcPr>
            <w:tcW w:w="2741" w:type="dxa"/>
          </w:tcPr>
          <w:p w14:paraId="5EA20DC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форм обслуживания населения в торговле, общественном питании, бытовом обслуживании;</w:t>
            </w:r>
          </w:p>
          <w:p w14:paraId="09F6E8F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содействие в расширении рынков сбыта пищевой, в том числе сельскохозяйственной продукции производителей Хабаровского края</w:t>
            </w:r>
          </w:p>
        </w:tc>
        <w:tc>
          <w:tcPr>
            <w:tcW w:w="2734" w:type="dxa"/>
          </w:tcPr>
          <w:p w14:paraId="6053215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доли объектов потребительского рынка, применяющих современные формы обслуживания в общем количестве торговых объектов, в общественном питании, бытовом обслуживании;</w:t>
            </w:r>
          </w:p>
          <w:p w14:paraId="703304D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объемов производства продукции, выпущенной предприятиями пищевой и перерабатывающей промышленности, сельского хозяйства</w:t>
            </w:r>
          </w:p>
        </w:tc>
        <w:tc>
          <w:tcPr>
            <w:tcW w:w="2843" w:type="dxa"/>
          </w:tcPr>
          <w:p w14:paraId="704E483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/>
              </w:rPr>
            </w:pPr>
            <w:r w:rsidRPr="00D67E95">
              <w:rPr>
                <w:sz w:val="24"/>
                <w:szCs w:val="24"/>
                <w:lang w:eastAsia="ru-RU"/>
              </w:rPr>
              <w:t>В 2024 году на территории района было организованно 6 ярмарок в городских поселения Чегдомын и Новый Ургал с предоставлением торговых мест на безвозмездной основе; было предоставлено 56 торговых мест, в том числе для продажи сельскохозяйственной продукции 41 торговых места.</w:t>
            </w:r>
          </w:p>
          <w:p w14:paraId="0635F73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/>
              </w:rPr>
            </w:pPr>
            <w:r w:rsidRPr="00D67E95">
              <w:rPr>
                <w:sz w:val="24"/>
                <w:szCs w:val="24"/>
                <w:lang w:eastAsia="ru-RU"/>
              </w:rPr>
              <w:t xml:space="preserve">Ежеквартально проводится мониторинг представленности продукции производителей Хабаровского края, анализируется ценовая </w:t>
            </w:r>
            <w:r w:rsidRPr="00D67E95">
              <w:rPr>
                <w:sz w:val="24"/>
                <w:szCs w:val="24"/>
                <w:lang w:eastAsia="ru-RU"/>
              </w:rPr>
              <w:lastRenderedPageBreak/>
              <w:t>ситуация</w:t>
            </w:r>
          </w:p>
        </w:tc>
        <w:tc>
          <w:tcPr>
            <w:tcW w:w="2704" w:type="dxa"/>
          </w:tcPr>
          <w:p w14:paraId="5F5AF072" w14:textId="77777777" w:rsidR="003705D0" w:rsidRPr="00D67E95" w:rsidRDefault="003705D0" w:rsidP="00493EB5">
            <w:pPr>
              <w:spacing w:before="60" w:after="60" w:line="20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D67E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состоянию на 31.12.2024 на территории района осуществляют деятельность 285 торговых объектов, с торговой площадью 12364,62 кв. м из них:</w:t>
            </w:r>
          </w:p>
          <w:p w14:paraId="3EC726F9" w14:textId="77777777" w:rsidR="003705D0" w:rsidRPr="00D67E95" w:rsidRDefault="003705D0" w:rsidP="00493EB5">
            <w:pPr>
              <w:spacing w:before="60" w:after="60" w:line="20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D67E95">
              <w:rPr>
                <w:rFonts w:eastAsia="Times New Roman"/>
                <w:sz w:val="24"/>
                <w:szCs w:val="24"/>
                <w:lang w:eastAsia="ru-RU"/>
              </w:rPr>
              <w:t>- 11 – торговых центров,</w:t>
            </w:r>
          </w:p>
          <w:p w14:paraId="792EE4F6" w14:textId="77777777" w:rsidR="003705D0" w:rsidRPr="00D67E95" w:rsidRDefault="003705D0" w:rsidP="00493EB5">
            <w:pPr>
              <w:spacing w:before="60" w:after="60" w:line="20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D67E95">
              <w:rPr>
                <w:rFonts w:eastAsia="Times New Roman"/>
                <w:sz w:val="24"/>
                <w:szCs w:val="24"/>
                <w:lang w:eastAsia="ru-RU"/>
              </w:rPr>
              <w:t xml:space="preserve">- 38 – объектов нестационарной торговли. </w:t>
            </w:r>
          </w:p>
          <w:p w14:paraId="1712AEA6" w14:textId="77777777" w:rsidR="003705D0" w:rsidRPr="00D67E95" w:rsidRDefault="003705D0" w:rsidP="00493EB5">
            <w:pPr>
              <w:spacing w:before="60" w:after="60" w:line="20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D67E95">
              <w:rPr>
                <w:rFonts w:eastAsia="Times New Roman"/>
                <w:sz w:val="24"/>
                <w:szCs w:val="24"/>
                <w:lang w:eastAsia="ru-RU"/>
              </w:rPr>
              <w:t>Обеспеченность торговыми площадями составляет 586,7 кв. м на 1 тыс. жителей, что в 1,99 раза превышает установленный норматив (295,5 кв. м).</w:t>
            </w:r>
          </w:p>
          <w:p w14:paraId="42C2E4C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/>
              </w:rPr>
            </w:pPr>
            <w:r w:rsidRPr="00D67E95">
              <w:rPr>
                <w:sz w:val="24"/>
                <w:szCs w:val="24"/>
                <w:lang w:eastAsia="ru-RU"/>
              </w:rPr>
              <w:lastRenderedPageBreak/>
              <w:t>Для улучшения доступности в приобретении населением свежих сельскохозяйственных продуктов в рабочих поселках Чегдомын и Новый Ургал действуют постоянные ярмарки, где на бесплатной основе предоставляются места для садоводов и огородников. Дополнительно в районном центре ежегодно проводятся сельскохозяйственные "Ярмарки выходного дня".</w:t>
            </w:r>
          </w:p>
          <w:p w14:paraId="49CEA0C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/>
              </w:rPr>
            </w:pPr>
            <w:r w:rsidRPr="00D67E95">
              <w:rPr>
                <w:sz w:val="24"/>
                <w:szCs w:val="24"/>
                <w:lang w:eastAsia="ru-RU"/>
              </w:rPr>
              <w:t xml:space="preserve">По состоянию на 31.12.2024 услуги общественного питания оказывают 26 предприятий с 462 посадочными местами, 5 предприятий оказывают услугу «кейтеринг» (выездное обслуживание), В 4 предприятиях проводятся культурно-развлекательные мероприятия. </w:t>
            </w:r>
          </w:p>
          <w:p w14:paraId="726DA5B2" w14:textId="77777777" w:rsidR="003705D0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/>
              </w:rPr>
            </w:pPr>
            <w:r w:rsidRPr="00D67E95">
              <w:rPr>
                <w:sz w:val="24"/>
                <w:szCs w:val="24"/>
                <w:lang w:eastAsia="ru-RU"/>
              </w:rPr>
              <w:t>По состоянию на 01.07.2025 на рынке бытовых услуг осуществляют деятельность 69 предприятий, индивидуальных предпринимателей и самозанятых граждан</w:t>
            </w:r>
          </w:p>
          <w:p w14:paraId="16FA8B8C" w14:textId="05002A91" w:rsidR="00E7410B" w:rsidRPr="00D67E95" w:rsidRDefault="00E7410B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3705D0" w:rsidRPr="00D67E95" w14:paraId="0E526049" w14:textId="77777777" w:rsidTr="00493EB5">
        <w:tc>
          <w:tcPr>
            <w:tcW w:w="756" w:type="dxa"/>
            <w:shd w:val="clear" w:color="auto" w:fill="auto"/>
          </w:tcPr>
          <w:p w14:paraId="2FB95FD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2748" w:type="dxa"/>
          </w:tcPr>
          <w:p w14:paraId="759DB97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Развитие сельскохозяйственной и потребительской кооперации, формирование системы приема, заготовки, хранения, переработки, транспортировки и реализации сельскохозяйственной продукции, продукции охоты, пищевых лесных ресурсов </w:t>
            </w:r>
          </w:p>
        </w:tc>
        <w:tc>
          <w:tcPr>
            <w:tcW w:w="2741" w:type="dxa"/>
          </w:tcPr>
          <w:p w14:paraId="3EE1746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содействие в формировании системы приема, заготовки, хранения, переработки, транспортировки и реализации сельскохозяйственной продукции, продукции охоты, пищевых лесных ресурсов</w:t>
            </w:r>
          </w:p>
        </w:tc>
        <w:tc>
          <w:tcPr>
            <w:tcW w:w="2734" w:type="dxa"/>
          </w:tcPr>
          <w:p w14:paraId="6A3A9F3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9" w:name="_Hlk105583266"/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объемов закупа сельскохозяйственной продукции, продукции охоты, пищевых лесных ресурсов предприятиями сельскохозяйственной предприятиями потребительской кооперации к 2025 году на 105,0 % по сравнению с 2020 годом</w:t>
            </w:r>
            <w:bookmarkEnd w:id="9"/>
          </w:p>
        </w:tc>
        <w:tc>
          <w:tcPr>
            <w:tcW w:w="2843" w:type="dxa"/>
          </w:tcPr>
          <w:p w14:paraId="65FA724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На территории района нет действующих сельскохозяйственных потребительских кооперативов (сельскохозяйственная кооперация не развита)</w:t>
            </w:r>
          </w:p>
        </w:tc>
        <w:tc>
          <w:tcPr>
            <w:tcW w:w="2704" w:type="dxa"/>
          </w:tcPr>
          <w:p w14:paraId="53FF905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 xml:space="preserve">Отсутствие инициативы создания сельскохозяйственного кооператива со стороны ЛПХ </w:t>
            </w:r>
          </w:p>
        </w:tc>
      </w:tr>
      <w:tr w:rsidR="003705D0" w:rsidRPr="00D67E95" w14:paraId="40D3C103" w14:textId="77777777" w:rsidTr="00493EB5">
        <w:tc>
          <w:tcPr>
            <w:tcW w:w="756" w:type="dxa"/>
            <w:shd w:val="clear" w:color="auto" w:fill="auto"/>
          </w:tcPr>
          <w:p w14:paraId="094486D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5.2.</w:t>
            </w:r>
          </w:p>
        </w:tc>
        <w:tc>
          <w:tcPr>
            <w:tcW w:w="2748" w:type="dxa"/>
          </w:tcPr>
          <w:p w14:paraId="24F5DA6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Повышение туристической привлекательности района</w:t>
            </w:r>
          </w:p>
        </w:tc>
        <w:tc>
          <w:tcPr>
            <w:tcW w:w="2741" w:type="dxa"/>
          </w:tcPr>
          <w:p w14:paraId="06C82AF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туристско-рекреационного кластеров;</w:t>
            </w:r>
          </w:p>
          <w:p w14:paraId="4823EF4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стимулирование повышения качества услуг среди субъектов индустрии туризма;</w:t>
            </w:r>
          </w:p>
          <w:p w14:paraId="259FA2E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повышение конкурентоспособности туристских и гостиничных услуг района;</w:t>
            </w:r>
          </w:p>
          <w:p w14:paraId="78395A8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стимулирование турбизнеса к разработке новых, а также совершенствованию реализуемых туристских маршрутов на территории района;</w:t>
            </w:r>
          </w:p>
          <w:p w14:paraId="4B52A20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создание положительного имиджа района;</w:t>
            </w:r>
          </w:p>
          <w:p w14:paraId="3C1E5D7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продвижение муниципального туристского продукта </w:t>
            </w:r>
          </w:p>
        </w:tc>
        <w:tc>
          <w:tcPr>
            <w:tcW w:w="2734" w:type="dxa"/>
          </w:tcPr>
          <w:p w14:paraId="73F4EBF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создание имиджа района, как территории, благоприятной для развития туризма;</w:t>
            </w:r>
          </w:p>
          <w:p w14:paraId="160DF42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обеспечение круглогодичного предоставления услуг рекреации для гостей и жителей района;</w:t>
            </w:r>
          </w:p>
          <w:p w14:paraId="305C01F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внутреннего и въездного туристских потоков;</w:t>
            </w:r>
          </w:p>
          <w:p w14:paraId="54C32D8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укрепление положительного имиджа района на туристском рынке</w:t>
            </w:r>
          </w:p>
        </w:tc>
        <w:tc>
          <w:tcPr>
            <w:tcW w:w="2843" w:type="dxa"/>
          </w:tcPr>
          <w:p w14:paraId="5EB5751E" w14:textId="77777777" w:rsidR="003705D0" w:rsidRPr="00D67E95" w:rsidRDefault="003705D0" w:rsidP="00493EB5">
            <w:pPr>
              <w:spacing w:before="60" w:after="60" w:line="20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7E95">
              <w:rPr>
                <w:rFonts w:eastAsia="Times New Roman"/>
                <w:sz w:val="24"/>
                <w:szCs w:val="24"/>
                <w:lang w:eastAsia="ru-RU"/>
              </w:rPr>
              <w:t>В 2024 год продолжены работы по реконструкции общественной территории для создания парка "Патриот" в рп. Чегдомын.</w:t>
            </w:r>
          </w:p>
          <w:p w14:paraId="725AF622" w14:textId="77777777" w:rsidR="003705D0" w:rsidRPr="00D67E95" w:rsidRDefault="003705D0" w:rsidP="00493EB5">
            <w:pPr>
              <w:spacing w:before="60" w:after="60" w:line="20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7E95">
              <w:rPr>
                <w:rFonts w:eastAsia="Times New Roman"/>
                <w:sz w:val="24"/>
                <w:szCs w:val="24"/>
                <w:lang w:eastAsia="ru-RU"/>
              </w:rPr>
              <w:t>С целью формирования экологического сознания и развития экологической культуры граждан, распространения идей заповедного дела среди широких слоев населения, в Государственном природном заповеднике "Буреинский" действуют следующие эколого-познавательные экскурсионные маршруты:</w:t>
            </w:r>
          </w:p>
          <w:p w14:paraId="26A16852" w14:textId="77777777" w:rsidR="003705D0" w:rsidRPr="00D67E95" w:rsidRDefault="003705D0" w:rsidP="00493EB5">
            <w:pPr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– Царская дорога;</w:t>
            </w:r>
            <w:r w:rsidRPr="00D67E95">
              <w:rPr>
                <w:sz w:val="24"/>
                <w:szCs w:val="24"/>
              </w:rPr>
              <w:br/>
              <w:t>– У истоков Буреи;</w:t>
            </w:r>
            <w:r w:rsidRPr="00D67E95">
              <w:rPr>
                <w:sz w:val="24"/>
                <w:szCs w:val="24"/>
              </w:rPr>
              <w:br/>
              <w:t xml:space="preserve">– Затерянный мир </w:t>
            </w:r>
            <w:proofErr w:type="spellStart"/>
            <w:r w:rsidRPr="00D67E95">
              <w:rPr>
                <w:sz w:val="24"/>
                <w:szCs w:val="24"/>
              </w:rPr>
              <w:t>Дуссе-Алиня</w:t>
            </w:r>
            <w:proofErr w:type="spellEnd"/>
            <w:r w:rsidRPr="00D67E95">
              <w:rPr>
                <w:sz w:val="24"/>
                <w:szCs w:val="24"/>
              </w:rPr>
              <w:t>;</w:t>
            </w:r>
            <w:r w:rsidRPr="00D67E95">
              <w:rPr>
                <w:sz w:val="24"/>
                <w:szCs w:val="24"/>
              </w:rPr>
              <w:br/>
              <w:t>– Сплав по правой Бурее;</w:t>
            </w:r>
            <w:r w:rsidRPr="00D67E95">
              <w:rPr>
                <w:sz w:val="24"/>
                <w:szCs w:val="24"/>
              </w:rPr>
              <w:br/>
              <w:t>– Золотая лихорадка</w:t>
            </w:r>
          </w:p>
        </w:tc>
        <w:tc>
          <w:tcPr>
            <w:tcW w:w="2704" w:type="dxa"/>
          </w:tcPr>
          <w:p w14:paraId="192BCFE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 xml:space="preserve">Запланированно строительство сквера "Золото </w:t>
            </w:r>
            <w:proofErr w:type="spellStart"/>
            <w:r w:rsidRPr="00D67E95">
              <w:rPr>
                <w:sz w:val="24"/>
                <w:szCs w:val="24"/>
              </w:rPr>
              <w:t>Умальты</w:t>
            </w:r>
            <w:proofErr w:type="spellEnd"/>
            <w:r w:rsidRPr="00D67E95">
              <w:rPr>
                <w:sz w:val="24"/>
                <w:szCs w:val="24"/>
              </w:rPr>
              <w:t>"</w:t>
            </w:r>
          </w:p>
        </w:tc>
      </w:tr>
      <w:tr w:rsidR="003705D0" w:rsidRPr="00D67E95" w14:paraId="6A4CBD3B" w14:textId="77777777" w:rsidTr="00493EB5">
        <w:tc>
          <w:tcPr>
            <w:tcW w:w="756" w:type="dxa"/>
            <w:shd w:val="clear" w:color="auto" w:fill="auto"/>
          </w:tcPr>
          <w:p w14:paraId="16A05FB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2748" w:type="dxa"/>
          </w:tcPr>
          <w:p w14:paraId="2185B2B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строительного комплекса</w:t>
            </w:r>
          </w:p>
        </w:tc>
        <w:tc>
          <w:tcPr>
            <w:tcW w:w="2741" w:type="dxa"/>
          </w:tcPr>
          <w:p w14:paraId="21262D9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комплексное освоение и развитие территорий в целях жилищного строительства;</w:t>
            </w:r>
          </w:p>
          <w:p w14:paraId="50B0A1AC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содействие инновационному развитию и модернизации строительного комплекса района</w:t>
            </w:r>
          </w:p>
        </w:tc>
        <w:tc>
          <w:tcPr>
            <w:tcW w:w="2734" w:type="dxa"/>
          </w:tcPr>
          <w:p w14:paraId="233721D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ввод в действие жилых домов в 2025 году – 5,0 тыс. кв. м общей площади;</w:t>
            </w:r>
          </w:p>
          <w:p w14:paraId="1519431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количество предприятий промышленности строительных материалов, осуществляющих деятельность на территории района, на которых проводятся работы по модернизации действующих и ведению новых производственных мощностей - 1 единиц</w:t>
            </w:r>
          </w:p>
        </w:tc>
        <w:tc>
          <w:tcPr>
            <w:tcW w:w="2843" w:type="dxa"/>
          </w:tcPr>
          <w:p w14:paraId="052EAB7C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ввод в действие жилых домов в 2024 году – 0,6</w:t>
            </w:r>
            <w:r w:rsidRPr="00D67E95">
              <w:rPr>
                <w:rStyle w:val="211pt"/>
                <w:color w:val="auto"/>
              </w:rPr>
              <w:t>6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 тыс. кв. м;</w:t>
            </w:r>
          </w:p>
          <w:p w14:paraId="6A75726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количество предприятий промышленности строительных материалов, осуществляющих деятельность на территории района, на которых проводятся работы по модернизации действующих и ведению новых производственных мощностей – 1</w:t>
            </w:r>
          </w:p>
        </w:tc>
        <w:tc>
          <w:tcPr>
            <w:tcW w:w="2704" w:type="dxa"/>
          </w:tcPr>
          <w:p w14:paraId="36B21E9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ввод в действие жилых домов за период 2019-2024 составил 3,8</w:t>
            </w:r>
            <w:r w:rsidRPr="00D67E95">
              <w:rPr>
                <w:rStyle w:val="211pt"/>
                <w:color w:val="auto"/>
              </w:rPr>
              <w:t>1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 тыс. кв. м</w:t>
            </w:r>
          </w:p>
        </w:tc>
      </w:tr>
      <w:tr w:rsidR="003705D0" w:rsidRPr="00D67E95" w14:paraId="3CC5DABA" w14:textId="77777777" w:rsidTr="00493EB5">
        <w:tc>
          <w:tcPr>
            <w:tcW w:w="756" w:type="dxa"/>
            <w:shd w:val="clear" w:color="auto" w:fill="auto"/>
          </w:tcPr>
          <w:p w14:paraId="1D045E9F" w14:textId="77777777" w:rsidR="003705D0" w:rsidRPr="00D67E95" w:rsidRDefault="003705D0" w:rsidP="00493EB5">
            <w:pPr>
              <w:pStyle w:val="20"/>
              <w:shd w:val="clear" w:color="auto" w:fill="auto"/>
              <w:spacing w:after="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14:paraId="4BAEB99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D67E95">
              <w:rPr>
                <w:rStyle w:val="211pt"/>
                <w:b/>
                <w:color w:val="auto"/>
                <w:sz w:val="24"/>
                <w:szCs w:val="24"/>
              </w:rPr>
              <w:t>Цель № 4 стратегии</w:t>
            </w:r>
          </w:p>
        </w:tc>
        <w:tc>
          <w:tcPr>
            <w:tcW w:w="11022" w:type="dxa"/>
            <w:gridSpan w:val="4"/>
          </w:tcPr>
          <w:p w14:paraId="0913197F" w14:textId="77777777" w:rsidR="003705D0" w:rsidRPr="00D67E95" w:rsidRDefault="003705D0" w:rsidP="00493EB5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D67E95">
              <w:rPr>
                <w:rStyle w:val="211pt"/>
                <w:b/>
                <w:color w:val="auto"/>
                <w:sz w:val="24"/>
                <w:szCs w:val="24"/>
              </w:rPr>
              <w:t>Выращивание и модернизация институтов, стимулирующих развитие инвестиционно-активной экономики и предпринимательской среды</w:t>
            </w:r>
          </w:p>
        </w:tc>
      </w:tr>
      <w:tr w:rsidR="003705D0" w:rsidRPr="00D67E95" w14:paraId="54374905" w14:textId="77777777" w:rsidTr="00493EB5">
        <w:tc>
          <w:tcPr>
            <w:tcW w:w="756" w:type="dxa"/>
            <w:shd w:val="clear" w:color="auto" w:fill="auto"/>
          </w:tcPr>
          <w:p w14:paraId="0D64F74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6.</w:t>
            </w:r>
          </w:p>
        </w:tc>
        <w:tc>
          <w:tcPr>
            <w:tcW w:w="2748" w:type="dxa"/>
          </w:tcPr>
          <w:p w14:paraId="756E186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Задача 6. Формирование комфортного предпринимательского климата</w:t>
            </w:r>
          </w:p>
        </w:tc>
        <w:tc>
          <w:tcPr>
            <w:tcW w:w="2741" w:type="dxa"/>
          </w:tcPr>
          <w:p w14:paraId="1BAA420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повышение инвестиционной привлекательности района;</w:t>
            </w:r>
          </w:p>
          <w:p w14:paraId="6DB45CC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создание благоприятных условий для устойчивого функционирования и развития МСП на территории района</w:t>
            </w:r>
          </w:p>
        </w:tc>
        <w:tc>
          <w:tcPr>
            <w:tcW w:w="2734" w:type="dxa"/>
          </w:tcPr>
          <w:p w14:paraId="3B578A9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0" w:name="_Hlk105583562"/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доли занятых на малых и средних предприятиях, в общей численности занятых по району до 25,0 % в 2025 году</w:t>
            </w:r>
            <w:bookmarkEnd w:id="10"/>
          </w:p>
        </w:tc>
        <w:tc>
          <w:tcPr>
            <w:tcW w:w="2843" w:type="dxa"/>
          </w:tcPr>
          <w:p w14:paraId="286CB67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1" w:name="_Hlk105583571"/>
            <w:r w:rsidRPr="00D67E95">
              <w:rPr>
                <w:sz w:val="24"/>
                <w:szCs w:val="24"/>
              </w:rPr>
              <w:t>По итогам сплошного наблюдения за деятельностью субъектов малого и среднего предпринимательства за 2020 год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составляла 11,0 %.</w:t>
            </w:r>
            <w:bookmarkEnd w:id="11"/>
          </w:p>
        </w:tc>
        <w:tc>
          <w:tcPr>
            <w:tcW w:w="2704" w:type="dxa"/>
          </w:tcPr>
          <w:p w14:paraId="6DA0FDD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Наблюдение проводится раз в 5 лет</w:t>
            </w:r>
          </w:p>
        </w:tc>
      </w:tr>
      <w:tr w:rsidR="003705D0" w:rsidRPr="00D67E95" w14:paraId="637683AF" w14:textId="77777777" w:rsidTr="00493EB5">
        <w:tc>
          <w:tcPr>
            <w:tcW w:w="756" w:type="dxa"/>
            <w:shd w:val="clear" w:color="auto" w:fill="auto"/>
          </w:tcPr>
          <w:p w14:paraId="67F920E7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6.1.</w:t>
            </w:r>
          </w:p>
        </w:tc>
        <w:tc>
          <w:tcPr>
            <w:tcW w:w="2748" w:type="dxa"/>
          </w:tcPr>
          <w:p w14:paraId="5B7020D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Оказание поддержки субъектам инвестиционной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741" w:type="dxa"/>
          </w:tcPr>
          <w:p w14:paraId="77A80F7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 xml:space="preserve">оказание организационного и информационного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сопровождения инвестиционных проектов, в том числе координация взаимодействия инвесторов со структурными подразделениями администрации района по принципу "одного окна"</w:t>
            </w:r>
          </w:p>
        </w:tc>
        <w:tc>
          <w:tcPr>
            <w:tcW w:w="2734" w:type="dxa"/>
          </w:tcPr>
          <w:p w14:paraId="05677AF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 xml:space="preserve">создание благоприятных условий для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инвестиционной деятельности</w:t>
            </w:r>
          </w:p>
        </w:tc>
        <w:tc>
          <w:tcPr>
            <w:tcW w:w="2843" w:type="dxa"/>
          </w:tcPr>
          <w:p w14:paraId="6DE52B12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 xml:space="preserve">Сопровождение инвестиционных проектов по принципу </w:t>
            </w:r>
            <w:r w:rsidRPr="00D67E95">
              <w:rPr>
                <w:sz w:val="24"/>
                <w:szCs w:val="24"/>
              </w:rPr>
              <w:lastRenderedPageBreak/>
              <w:t>"Одного окна"</w:t>
            </w:r>
          </w:p>
          <w:p w14:paraId="0BB24D79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Муниципальная программа "Улучшение инвестиционного климата"</w:t>
            </w:r>
          </w:p>
          <w:p w14:paraId="5252DF37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bookmarkStart w:id="12" w:name="_Hlk167975332"/>
            <w:r w:rsidRPr="00D67E95">
              <w:rPr>
                <w:sz w:val="24"/>
                <w:szCs w:val="24"/>
              </w:rPr>
              <w:t>Муниципальная программа "Развитие малого и среднего предпринимательства в Верхнебуреинском районе Хабаровского края"</w:t>
            </w:r>
            <w:bookmarkEnd w:id="12"/>
          </w:p>
          <w:p w14:paraId="504A2D07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Особый правовой режим осуществления предпринимательской деятельности – территория опережающего развития (ТОР)</w:t>
            </w:r>
          </w:p>
          <w:p w14:paraId="48AE3C8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Оказание поддержки приоритетным видам на территории района, финансовая и имущественная поддержка, информационная и консультационные услуги</w:t>
            </w:r>
          </w:p>
          <w:p w14:paraId="5F55293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Реализация Дорожной карты Муниципального стандарта содействия инвестициям и развития предпринимательства в Верхнебуреинском муниципальном районе Хабаровского края</w:t>
            </w:r>
          </w:p>
          <w:p w14:paraId="6119F2F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С 2024 года действует инвестиционный совет и назначен инвестиционный уполномоченный</w:t>
            </w:r>
          </w:p>
        </w:tc>
        <w:tc>
          <w:tcPr>
            <w:tcW w:w="2704" w:type="dxa"/>
          </w:tcPr>
          <w:p w14:paraId="3B8B20C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3705D0" w:rsidRPr="00D67E95" w14:paraId="409791C7" w14:textId="77777777" w:rsidTr="00493EB5">
        <w:tc>
          <w:tcPr>
            <w:tcW w:w="756" w:type="dxa"/>
            <w:shd w:val="clear" w:color="auto" w:fill="auto"/>
          </w:tcPr>
          <w:p w14:paraId="54A6AC4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6.1.1.</w:t>
            </w:r>
          </w:p>
        </w:tc>
        <w:tc>
          <w:tcPr>
            <w:tcW w:w="2748" w:type="dxa"/>
          </w:tcPr>
          <w:p w14:paraId="192C52F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Информационно-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консультационная и организационная поддержка субъектам инвестиционной деятельности</w:t>
            </w:r>
          </w:p>
        </w:tc>
        <w:tc>
          <w:tcPr>
            <w:tcW w:w="2741" w:type="dxa"/>
          </w:tcPr>
          <w:p w14:paraId="5476F35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 xml:space="preserve">информирование и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консультирование предприятий и организаций по вопросам инвестиционной деятельности в районе</w:t>
            </w:r>
          </w:p>
        </w:tc>
        <w:tc>
          <w:tcPr>
            <w:tcW w:w="2734" w:type="dxa"/>
          </w:tcPr>
          <w:p w14:paraId="726334B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3" w:name="_Hlk105583631"/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 xml:space="preserve">увеличение числа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lastRenderedPageBreak/>
              <w:t>инициаторов инвестиционных проектов, получивших информационно-консультационную и организационную поддержку</w:t>
            </w:r>
            <w:bookmarkEnd w:id="13"/>
          </w:p>
        </w:tc>
        <w:tc>
          <w:tcPr>
            <w:tcW w:w="2843" w:type="dxa"/>
          </w:tcPr>
          <w:p w14:paraId="62EB1D76" w14:textId="77777777" w:rsidR="003705D0" w:rsidRPr="00D67E95" w:rsidRDefault="003705D0" w:rsidP="00493EB5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 xml:space="preserve">На официальном сайте </w:t>
            </w:r>
            <w:r w:rsidRPr="00D67E95">
              <w:rPr>
                <w:sz w:val="24"/>
                <w:szCs w:val="24"/>
              </w:rPr>
              <w:lastRenderedPageBreak/>
              <w:t>администрации Верхнебуреинского района расположен раздел "Инвестиционная деятельность", в котором размещается информация для инвесторов</w:t>
            </w:r>
          </w:p>
          <w:p w14:paraId="70D619CC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val="en-US"/>
              </w:rPr>
            </w:pPr>
            <w:r w:rsidRPr="00D67E95">
              <w:rPr>
                <w:sz w:val="24"/>
                <w:szCs w:val="24"/>
                <w:lang w:val="en-US"/>
              </w:rPr>
              <w:t>https://vbradm.khabkrai.ru/ Deyatelnost/8.-Investicionnaya-deyatelnost/Municipalnyj-standart1636434523</w:t>
            </w:r>
          </w:p>
          <w:p w14:paraId="60A8907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 xml:space="preserve">В 2024 году </w:t>
            </w:r>
            <w:bookmarkStart w:id="14" w:name="_Hlk105583642"/>
            <w:r w:rsidRPr="00D67E95">
              <w:rPr>
                <w:sz w:val="24"/>
                <w:szCs w:val="24"/>
              </w:rPr>
              <w:t xml:space="preserve">за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информационно-консультационной </w:t>
            </w:r>
            <w:r w:rsidRPr="00D67E95">
              <w:rPr>
                <w:sz w:val="24"/>
                <w:szCs w:val="24"/>
              </w:rPr>
              <w:t xml:space="preserve">поддержкой 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t>инициаторы инвестиционных проектов</w:t>
            </w:r>
            <w:r w:rsidRPr="00D67E95">
              <w:rPr>
                <w:sz w:val="24"/>
                <w:szCs w:val="24"/>
              </w:rPr>
              <w:t xml:space="preserve"> не обращались</w:t>
            </w:r>
            <w:bookmarkEnd w:id="14"/>
          </w:p>
        </w:tc>
        <w:tc>
          <w:tcPr>
            <w:tcW w:w="2704" w:type="dxa"/>
          </w:tcPr>
          <w:p w14:paraId="3DBAC154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3705D0" w:rsidRPr="00D67E95" w14:paraId="33AB68CD" w14:textId="77777777" w:rsidTr="00493EB5">
        <w:tc>
          <w:tcPr>
            <w:tcW w:w="756" w:type="dxa"/>
            <w:shd w:val="clear" w:color="auto" w:fill="auto"/>
          </w:tcPr>
          <w:p w14:paraId="11C0461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5" w:name="_Hlk167975405"/>
            <w:r w:rsidRPr="00D67E95">
              <w:rPr>
                <w:sz w:val="24"/>
                <w:szCs w:val="24"/>
              </w:rPr>
              <w:t>6.1.2.</w:t>
            </w:r>
          </w:p>
        </w:tc>
        <w:tc>
          <w:tcPr>
            <w:tcW w:w="2748" w:type="dxa"/>
          </w:tcPr>
          <w:p w14:paraId="184E1FE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Координация взаимодействия инвесторов со структурными подразделениями администрации района по принципу "одного окна"</w:t>
            </w:r>
          </w:p>
        </w:tc>
        <w:tc>
          <w:tcPr>
            <w:tcW w:w="2741" w:type="dxa"/>
          </w:tcPr>
          <w:p w14:paraId="0829925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сопровождение инвестиционных проектов по принципу "одного окна"</w:t>
            </w:r>
          </w:p>
        </w:tc>
        <w:tc>
          <w:tcPr>
            <w:tcW w:w="2734" w:type="dxa"/>
          </w:tcPr>
          <w:p w14:paraId="3DDFF5C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6" w:name="_Hlk105583669"/>
            <w:r w:rsidRPr="00D67E95">
              <w:rPr>
                <w:rStyle w:val="211pt"/>
                <w:color w:val="auto"/>
                <w:sz w:val="24"/>
                <w:szCs w:val="24"/>
              </w:rPr>
              <w:t>рост числа инвестиционных проектов, по которым осуществляется сопровождение по принципу "одного окна"</w:t>
            </w:r>
            <w:bookmarkEnd w:id="16"/>
          </w:p>
        </w:tc>
        <w:tc>
          <w:tcPr>
            <w:tcW w:w="2843" w:type="dxa"/>
          </w:tcPr>
          <w:p w14:paraId="53E411BB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Количество инвестиционных проектов, по которым осуществляется сопровождение по принципу "одного окна" в 2024 году составило – 0.</w:t>
            </w:r>
          </w:p>
          <w:p w14:paraId="6F890F3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За период 2018-2024 годы – 0 проектов</w:t>
            </w:r>
          </w:p>
        </w:tc>
        <w:tc>
          <w:tcPr>
            <w:tcW w:w="2704" w:type="dxa"/>
          </w:tcPr>
          <w:p w14:paraId="781AB55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обращений инвесторов по принципу "Одного окна" не поступало</w:t>
            </w:r>
          </w:p>
        </w:tc>
      </w:tr>
      <w:bookmarkEnd w:id="15"/>
      <w:tr w:rsidR="003705D0" w:rsidRPr="00D67E95" w14:paraId="201AEA20" w14:textId="77777777" w:rsidTr="00493EB5">
        <w:tc>
          <w:tcPr>
            <w:tcW w:w="756" w:type="dxa"/>
            <w:shd w:val="clear" w:color="auto" w:fill="auto"/>
          </w:tcPr>
          <w:p w14:paraId="51E0621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6.2.</w:t>
            </w:r>
          </w:p>
        </w:tc>
        <w:tc>
          <w:tcPr>
            <w:tcW w:w="2748" w:type="dxa"/>
          </w:tcPr>
          <w:p w14:paraId="2820734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Развитие инфраструктуры поддержки субъектов МСП</w:t>
            </w:r>
          </w:p>
        </w:tc>
        <w:tc>
          <w:tcPr>
            <w:tcW w:w="2741" w:type="dxa"/>
          </w:tcPr>
          <w:p w14:paraId="7FF38A5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повышение доступности комплекса консультационно-информационных услуг</w:t>
            </w:r>
          </w:p>
        </w:tc>
        <w:tc>
          <w:tcPr>
            <w:tcW w:w="2734" w:type="dxa"/>
          </w:tcPr>
          <w:p w14:paraId="3D0E1440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7" w:name="_Hlk105583836"/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количества субъектов МСП</w:t>
            </w:r>
            <w:bookmarkEnd w:id="17"/>
          </w:p>
        </w:tc>
        <w:tc>
          <w:tcPr>
            <w:tcW w:w="2843" w:type="dxa"/>
          </w:tcPr>
          <w:p w14:paraId="602BB86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на 10.01.2025 по данным единого реестра субъектов малого и среднего предпринимательства число субъектов МСП составило 62</w:t>
            </w:r>
            <w:r w:rsidRPr="00D67E95">
              <w:rPr>
                <w:rStyle w:val="211pt"/>
                <w:color w:val="auto"/>
              </w:rPr>
              <w:t>6</w:t>
            </w: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 и увеличилось по сравнению с прошлым годом на 103,1 %</w:t>
            </w:r>
          </w:p>
        </w:tc>
        <w:tc>
          <w:tcPr>
            <w:tcW w:w="2704" w:type="dxa"/>
          </w:tcPr>
          <w:p w14:paraId="084D7F57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3705D0" w:rsidRPr="00D67E95" w14:paraId="1EB89939" w14:textId="77777777" w:rsidTr="00493EB5">
        <w:tc>
          <w:tcPr>
            <w:tcW w:w="756" w:type="dxa"/>
            <w:shd w:val="clear" w:color="auto" w:fill="auto"/>
          </w:tcPr>
          <w:p w14:paraId="439485F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2748" w:type="dxa"/>
          </w:tcPr>
          <w:p w14:paraId="33E46BB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Повышение доступности финансовых ресурсов для субъектов МСП, в т.ч. в рамках взаимодействия с федеральными институтами развития</w:t>
            </w:r>
          </w:p>
        </w:tc>
        <w:tc>
          <w:tcPr>
            <w:tcW w:w="2741" w:type="dxa"/>
          </w:tcPr>
          <w:p w14:paraId="5D04FF2E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привлечение средств федерального бюджета на реализацию мероприятий по поддержке субъектов МСП;</w:t>
            </w:r>
          </w:p>
          <w:p w14:paraId="23BE6E4A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взаимодействие с АО "Федеральная корпорация по развитию малого и среднего предпринимательства",</w:t>
            </w:r>
          </w:p>
          <w:p w14:paraId="5B99D9E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АО "МСП Банк",</w:t>
            </w:r>
          </w:p>
          <w:p w14:paraId="38498EF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ФО "Фонд развития Дальнего Востока и Байкальского региона" по кредитно-гарантийной поддержке субъектов МСП</w:t>
            </w:r>
          </w:p>
        </w:tc>
        <w:tc>
          <w:tcPr>
            <w:tcW w:w="2734" w:type="dxa"/>
          </w:tcPr>
          <w:p w14:paraId="78FF8DD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8" w:name="_Hlk105584287"/>
            <w:r w:rsidRPr="00D67E95">
              <w:rPr>
                <w:rStyle w:val="211pt"/>
                <w:color w:val="auto"/>
                <w:sz w:val="24"/>
                <w:szCs w:val="24"/>
              </w:rPr>
              <w:t>увеличение доли кредитов, выданных субъектам МСП с использованием кредитно-гарантийной поддержки федеральных институтов развития, в общем объеме кредитов малому и среднему бизнесу</w:t>
            </w:r>
            <w:bookmarkEnd w:id="18"/>
          </w:p>
        </w:tc>
        <w:tc>
          <w:tcPr>
            <w:tcW w:w="2843" w:type="dxa"/>
          </w:tcPr>
          <w:p w14:paraId="7EF0B289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9" w:name="_Hlk105584425"/>
            <w:r w:rsidRPr="00D67E95">
              <w:rPr>
                <w:sz w:val="24"/>
                <w:szCs w:val="24"/>
              </w:rPr>
              <w:t>в 2024 году выдано 11 микрозаймов Фондом поддержки малого предпринимательства Хабаровского края</w:t>
            </w:r>
            <w:bookmarkEnd w:id="19"/>
            <w:r w:rsidRPr="00D67E95">
              <w:rPr>
                <w:sz w:val="24"/>
                <w:szCs w:val="24"/>
              </w:rPr>
              <w:t xml:space="preserve"> (в 2023 году выдано 8 микрозаймов)</w:t>
            </w:r>
          </w:p>
        </w:tc>
        <w:tc>
          <w:tcPr>
            <w:tcW w:w="2704" w:type="dxa"/>
          </w:tcPr>
          <w:p w14:paraId="72FE3EB5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3705D0" w:rsidRPr="00D67E95" w14:paraId="347850BB" w14:textId="77777777" w:rsidTr="00493EB5">
        <w:tc>
          <w:tcPr>
            <w:tcW w:w="756" w:type="dxa"/>
            <w:shd w:val="clear" w:color="auto" w:fill="auto"/>
          </w:tcPr>
          <w:p w14:paraId="2ADACFB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6.4.</w:t>
            </w:r>
          </w:p>
        </w:tc>
        <w:tc>
          <w:tcPr>
            <w:tcW w:w="2748" w:type="dxa"/>
          </w:tcPr>
          <w:p w14:paraId="276049B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 xml:space="preserve">Организация обучения основам предпринимательской деятельности </w:t>
            </w:r>
          </w:p>
        </w:tc>
        <w:tc>
          <w:tcPr>
            <w:tcW w:w="2741" w:type="dxa"/>
          </w:tcPr>
          <w:p w14:paraId="33F808CF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направление граждан на обучение основам предпринимательской деятельности</w:t>
            </w:r>
          </w:p>
        </w:tc>
        <w:tc>
          <w:tcPr>
            <w:tcW w:w="2734" w:type="dxa"/>
          </w:tcPr>
          <w:p w14:paraId="4D76AA31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20" w:name="_Hlk105584495"/>
            <w:r w:rsidRPr="00D67E95">
              <w:rPr>
                <w:rStyle w:val="211pt"/>
                <w:color w:val="auto"/>
                <w:sz w:val="24"/>
                <w:szCs w:val="24"/>
              </w:rPr>
              <w:t>получение гражданами навыков, необходимых для осуществления предпринимательской деятельности</w:t>
            </w:r>
            <w:bookmarkEnd w:id="20"/>
          </w:p>
        </w:tc>
        <w:tc>
          <w:tcPr>
            <w:tcW w:w="2843" w:type="dxa"/>
          </w:tcPr>
          <w:p w14:paraId="5C6BEE1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1" w:name="_Hlk105584506"/>
            <w:r w:rsidRPr="00D67E95">
              <w:rPr>
                <w:sz w:val="24"/>
                <w:szCs w:val="24"/>
              </w:rPr>
              <w:t>в 2024 году обучение основам осуществления предпринимательской деятельности проводилось</w:t>
            </w:r>
            <w:bookmarkEnd w:id="21"/>
            <w:r w:rsidRPr="00D67E95">
              <w:rPr>
                <w:sz w:val="24"/>
                <w:szCs w:val="24"/>
              </w:rPr>
              <w:t xml:space="preserve"> ЦОУ "Мой бизнес". От Верхнебуреинского района принял участие в обучении 1 предприниматель</w:t>
            </w:r>
          </w:p>
        </w:tc>
        <w:tc>
          <w:tcPr>
            <w:tcW w:w="2704" w:type="dxa"/>
          </w:tcPr>
          <w:p w14:paraId="3399F5D2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3705D0" w:rsidRPr="00D67E95" w14:paraId="41009093" w14:textId="77777777" w:rsidTr="00493EB5">
        <w:tc>
          <w:tcPr>
            <w:tcW w:w="756" w:type="dxa"/>
            <w:shd w:val="clear" w:color="auto" w:fill="auto"/>
          </w:tcPr>
          <w:p w14:paraId="06BDEEC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6.5.</w:t>
            </w:r>
          </w:p>
        </w:tc>
        <w:tc>
          <w:tcPr>
            <w:tcW w:w="2748" w:type="dxa"/>
          </w:tcPr>
          <w:p w14:paraId="3F7EF248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741" w:type="dxa"/>
          </w:tcPr>
          <w:p w14:paraId="04219CC3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2734" w:type="dxa"/>
          </w:tcPr>
          <w:p w14:paraId="188787D6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D67E95">
              <w:rPr>
                <w:rStyle w:val="211pt"/>
                <w:color w:val="auto"/>
                <w:sz w:val="24"/>
                <w:szCs w:val="24"/>
              </w:rPr>
              <w:t>количество получателей финансовой помощи исходя из предусмотренного на реализацию мероприятия объема средств районного бюджета</w:t>
            </w:r>
          </w:p>
        </w:tc>
        <w:tc>
          <w:tcPr>
            <w:tcW w:w="2843" w:type="dxa"/>
          </w:tcPr>
          <w:p w14:paraId="2272C98D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D67E95">
              <w:rPr>
                <w:sz w:val="24"/>
                <w:szCs w:val="24"/>
              </w:rPr>
              <w:t>в 2024 году была предоставлена субсидия двум субъектам МСП, в общей сумме 1,0 млн рублей</w:t>
            </w:r>
          </w:p>
        </w:tc>
        <w:tc>
          <w:tcPr>
            <w:tcW w:w="2704" w:type="dxa"/>
          </w:tcPr>
          <w:p w14:paraId="28AAF187" w14:textId="77777777" w:rsidR="003705D0" w:rsidRPr="00D67E95" w:rsidRDefault="003705D0" w:rsidP="00493EB5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</w:tbl>
    <w:p w14:paraId="4DB72AA6" w14:textId="77777777" w:rsidR="003705D0" w:rsidRPr="00D67E95" w:rsidRDefault="003705D0" w:rsidP="003705D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</w:rPr>
      </w:pPr>
    </w:p>
    <w:p w14:paraId="06EBF494" w14:textId="77777777" w:rsidR="003705D0" w:rsidRPr="00D67E95" w:rsidRDefault="003705D0" w:rsidP="003705D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</w:rPr>
      </w:pPr>
      <w:r w:rsidRPr="00D67E95">
        <w:rPr>
          <w:sz w:val="24"/>
          <w:szCs w:val="24"/>
        </w:rPr>
        <w:lastRenderedPageBreak/>
        <w:t>_______________________</w:t>
      </w:r>
    </w:p>
    <w:p w14:paraId="6FEFEBFA" w14:textId="530554B0" w:rsidR="003705D0" w:rsidRPr="00A565A3" w:rsidRDefault="003705D0" w:rsidP="003705D0">
      <w:pPr>
        <w:widowControl w:val="0"/>
        <w:autoSpaceDE w:val="0"/>
        <w:autoSpaceDN w:val="0"/>
        <w:adjustRightInd w:val="0"/>
      </w:pPr>
    </w:p>
    <w:sectPr w:rsidR="003705D0" w:rsidRPr="00A565A3" w:rsidSect="00911FA3">
      <w:headerReference w:type="default" r:id="rId8"/>
      <w:pgSz w:w="16838" w:h="11906" w:orient="landscape"/>
      <w:pgMar w:top="1985" w:right="1134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F0E8" w14:textId="77777777" w:rsidR="001C45F3" w:rsidRDefault="001C45F3" w:rsidP="00316910">
      <w:r>
        <w:separator/>
      </w:r>
    </w:p>
  </w:endnote>
  <w:endnote w:type="continuationSeparator" w:id="0">
    <w:p w14:paraId="34EA84DC" w14:textId="77777777" w:rsidR="001C45F3" w:rsidRDefault="001C45F3" w:rsidP="0031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D125" w14:textId="77777777" w:rsidR="001C45F3" w:rsidRDefault="001C45F3" w:rsidP="00316910">
      <w:r>
        <w:separator/>
      </w:r>
    </w:p>
  </w:footnote>
  <w:footnote w:type="continuationSeparator" w:id="0">
    <w:p w14:paraId="149813ED" w14:textId="77777777" w:rsidR="001C45F3" w:rsidRDefault="001C45F3" w:rsidP="0031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962D" w14:textId="77777777" w:rsidR="001102B6" w:rsidRDefault="001102B6" w:rsidP="00911FA3">
    <w:pPr>
      <w:pStyle w:val="a5"/>
      <w:jc w:val="center"/>
    </w:pPr>
    <w:r w:rsidRPr="00911FA3">
      <w:rPr>
        <w:sz w:val="24"/>
        <w:szCs w:val="24"/>
      </w:rPr>
      <w:fldChar w:fldCharType="begin"/>
    </w:r>
    <w:r w:rsidRPr="00911FA3">
      <w:rPr>
        <w:sz w:val="24"/>
        <w:szCs w:val="24"/>
      </w:rPr>
      <w:instrText xml:space="preserve"> PAGE   \* MERGEFORMAT </w:instrText>
    </w:r>
    <w:r w:rsidRPr="00911FA3">
      <w:rPr>
        <w:sz w:val="24"/>
        <w:szCs w:val="24"/>
      </w:rPr>
      <w:fldChar w:fldCharType="separate"/>
    </w:r>
    <w:r w:rsidR="00F83C24" w:rsidRPr="00911FA3">
      <w:rPr>
        <w:noProof/>
        <w:sz w:val="24"/>
        <w:szCs w:val="24"/>
      </w:rPr>
      <w:t>11</w:t>
    </w:r>
    <w:r w:rsidRPr="00911FA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FD4"/>
    <w:multiLevelType w:val="multilevel"/>
    <w:tmpl w:val="4A10C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24999"/>
    <w:multiLevelType w:val="multilevel"/>
    <w:tmpl w:val="913C0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6134CB"/>
    <w:multiLevelType w:val="multilevel"/>
    <w:tmpl w:val="FBE06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076DC"/>
    <w:multiLevelType w:val="multilevel"/>
    <w:tmpl w:val="4BDC9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E7BDB"/>
    <w:multiLevelType w:val="multilevel"/>
    <w:tmpl w:val="A8CAE85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A84E94"/>
    <w:multiLevelType w:val="multilevel"/>
    <w:tmpl w:val="AD646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4A2D4C"/>
    <w:multiLevelType w:val="multilevel"/>
    <w:tmpl w:val="F664E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4781B"/>
    <w:multiLevelType w:val="multilevel"/>
    <w:tmpl w:val="EFD08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30"/>
    <w:rsid w:val="00030624"/>
    <w:rsid w:val="0003722A"/>
    <w:rsid w:val="0004250E"/>
    <w:rsid w:val="00054093"/>
    <w:rsid w:val="00056E94"/>
    <w:rsid w:val="00071CCB"/>
    <w:rsid w:val="000843A5"/>
    <w:rsid w:val="000848D3"/>
    <w:rsid w:val="00090BC4"/>
    <w:rsid w:val="00092FC3"/>
    <w:rsid w:val="000A5F9E"/>
    <w:rsid w:val="000A6BF0"/>
    <w:rsid w:val="000C1D56"/>
    <w:rsid w:val="000D1337"/>
    <w:rsid w:val="001024DB"/>
    <w:rsid w:val="001102B6"/>
    <w:rsid w:val="00113B2B"/>
    <w:rsid w:val="001159FB"/>
    <w:rsid w:val="00124D98"/>
    <w:rsid w:val="00136C9F"/>
    <w:rsid w:val="0014157D"/>
    <w:rsid w:val="001877C8"/>
    <w:rsid w:val="00196917"/>
    <w:rsid w:val="001C123C"/>
    <w:rsid w:val="001C13EB"/>
    <w:rsid w:val="001C45F3"/>
    <w:rsid w:val="001C4A85"/>
    <w:rsid w:val="001C4EAE"/>
    <w:rsid w:val="001D540A"/>
    <w:rsid w:val="001E44BC"/>
    <w:rsid w:val="001F4965"/>
    <w:rsid w:val="0020050E"/>
    <w:rsid w:val="00207252"/>
    <w:rsid w:val="00217F24"/>
    <w:rsid w:val="0022370E"/>
    <w:rsid w:val="00225960"/>
    <w:rsid w:val="00226417"/>
    <w:rsid w:val="00233866"/>
    <w:rsid w:val="002411F0"/>
    <w:rsid w:val="002462BA"/>
    <w:rsid w:val="00246AA7"/>
    <w:rsid w:val="002870B4"/>
    <w:rsid w:val="00295F79"/>
    <w:rsid w:val="002B06FC"/>
    <w:rsid w:val="002D131A"/>
    <w:rsid w:val="002D6032"/>
    <w:rsid w:val="002E34F1"/>
    <w:rsid w:val="002F2783"/>
    <w:rsid w:val="002F352F"/>
    <w:rsid w:val="00305EC5"/>
    <w:rsid w:val="00316910"/>
    <w:rsid w:val="0032279B"/>
    <w:rsid w:val="0032717F"/>
    <w:rsid w:val="00331071"/>
    <w:rsid w:val="003353E5"/>
    <w:rsid w:val="003425E6"/>
    <w:rsid w:val="003478CB"/>
    <w:rsid w:val="00350171"/>
    <w:rsid w:val="003514E5"/>
    <w:rsid w:val="00365AED"/>
    <w:rsid w:val="003705D0"/>
    <w:rsid w:val="00385AAE"/>
    <w:rsid w:val="00391E45"/>
    <w:rsid w:val="00393EA6"/>
    <w:rsid w:val="003A10B6"/>
    <w:rsid w:val="003A5FA3"/>
    <w:rsid w:val="003C5030"/>
    <w:rsid w:val="003D32F7"/>
    <w:rsid w:val="0040689E"/>
    <w:rsid w:val="004174F8"/>
    <w:rsid w:val="00422CBC"/>
    <w:rsid w:val="0043442E"/>
    <w:rsid w:val="0043784F"/>
    <w:rsid w:val="00450B5A"/>
    <w:rsid w:val="0045372A"/>
    <w:rsid w:val="00462CC7"/>
    <w:rsid w:val="00474531"/>
    <w:rsid w:val="00492E6D"/>
    <w:rsid w:val="004A35C4"/>
    <w:rsid w:val="004D3483"/>
    <w:rsid w:val="004E7042"/>
    <w:rsid w:val="004F2639"/>
    <w:rsid w:val="004F7013"/>
    <w:rsid w:val="005035D0"/>
    <w:rsid w:val="005104A3"/>
    <w:rsid w:val="005145AD"/>
    <w:rsid w:val="005150B4"/>
    <w:rsid w:val="00523630"/>
    <w:rsid w:val="005302E4"/>
    <w:rsid w:val="00531A5C"/>
    <w:rsid w:val="005353DB"/>
    <w:rsid w:val="00545A04"/>
    <w:rsid w:val="00561EDE"/>
    <w:rsid w:val="00567DD5"/>
    <w:rsid w:val="0058555E"/>
    <w:rsid w:val="00595E43"/>
    <w:rsid w:val="00596696"/>
    <w:rsid w:val="005B1F76"/>
    <w:rsid w:val="005C7314"/>
    <w:rsid w:val="005C7D9E"/>
    <w:rsid w:val="005F31F2"/>
    <w:rsid w:val="005F52FE"/>
    <w:rsid w:val="005F611F"/>
    <w:rsid w:val="00606BA1"/>
    <w:rsid w:val="00612D63"/>
    <w:rsid w:val="0061605F"/>
    <w:rsid w:val="00626787"/>
    <w:rsid w:val="00626EDA"/>
    <w:rsid w:val="006401BD"/>
    <w:rsid w:val="00642161"/>
    <w:rsid w:val="0064536A"/>
    <w:rsid w:val="00651F10"/>
    <w:rsid w:val="00660DBA"/>
    <w:rsid w:val="0066119D"/>
    <w:rsid w:val="00663C6E"/>
    <w:rsid w:val="006666A3"/>
    <w:rsid w:val="006805BD"/>
    <w:rsid w:val="00687A68"/>
    <w:rsid w:val="006952F9"/>
    <w:rsid w:val="006A634D"/>
    <w:rsid w:val="006C6362"/>
    <w:rsid w:val="006D69E8"/>
    <w:rsid w:val="006E225C"/>
    <w:rsid w:val="006F34D8"/>
    <w:rsid w:val="00700760"/>
    <w:rsid w:val="00724273"/>
    <w:rsid w:val="007249F3"/>
    <w:rsid w:val="0073065E"/>
    <w:rsid w:val="007500D5"/>
    <w:rsid w:val="007527FF"/>
    <w:rsid w:val="007565B6"/>
    <w:rsid w:val="007624C0"/>
    <w:rsid w:val="00762E96"/>
    <w:rsid w:val="00785F61"/>
    <w:rsid w:val="00787FC8"/>
    <w:rsid w:val="007954A6"/>
    <w:rsid w:val="007A07C7"/>
    <w:rsid w:val="007A27D4"/>
    <w:rsid w:val="007A3B95"/>
    <w:rsid w:val="007B2877"/>
    <w:rsid w:val="007C5EAA"/>
    <w:rsid w:val="007E3DC0"/>
    <w:rsid w:val="00815FA6"/>
    <w:rsid w:val="00817AD1"/>
    <w:rsid w:val="00821B5C"/>
    <w:rsid w:val="00835159"/>
    <w:rsid w:val="00845D6F"/>
    <w:rsid w:val="00855F32"/>
    <w:rsid w:val="008578A2"/>
    <w:rsid w:val="0086783E"/>
    <w:rsid w:val="008B076E"/>
    <w:rsid w:val="008B7822"/>
    <w:rsid w:val="008C6A1E"/>
    <w:rsid w:val="008E53E9"/>
    <w:rsid w:val="0090479C"/>
    <w:rsid w:val="00924696"/>
    <w:rsid w:val="0093096C"/>
    <w:rsid w:val="00951464"/>
    <w:rsid w:val="00965BC7"/>
    <w:rsid w:val="00966A6F"/>
    <w:rsid w:val="00967BA4"/>
    <w:rsid w:val="00970E89"/>
    <w:rsid w:val="009A65D4"/>
    <w:rsid w:val="009B1BE4"/>
    <w:rsid w:val="009E4A1B"/>
    <w:rsid w:val="009E72BB"/>
    <w:rsid w:val="00A02CD9"/>
    <w:rsid w:val="00A04842"/>
    <w:rsid w:val="00A070AC"/>
    <w:rsid w:val="00A22D43"/>
    <w:rsid w:val="00A237CF"/>
    <w:rsid w:val="00A250F4"/>
    <w:rsid w:val="00A36CC4"/>
    <w:rsid w:val="00A46BFE"/>
    <w:rsid w:val="00A55E28"/>
    <w:rsid w:val="00A56138"/>
    <w:rsid w:val="00A57324"/>
    <w:rsid w:val="00A81B63"/>
    <w:rsid w:val="00A84005"/>
    <w:rsid w:val="00A962E6"/>
    <w:rsid w:val="00AB0064"/>
    <w:rsid w:val="00AE5BB5"/>
    <w:rsid w:val="00AE5D66"/>
    <w:rsid w:val="00B12890"/>
    <w:rsid w:val="00B24DC1"/>
    <w:rsid w:val="00B350E4"/>
    <w:rsid w:val="00B44F0E"/>
    <w:rsid w:val="00B73472"/>
    <w:rsid w:val="00B91886"/>
    <w:rsid w:val="00BA5F53"/>
    <w:rsid w:val="00BB26C9"/>
    <w:rsid w:val="00BB2AD3"/>
    <w:rsid w:val="00BE2BE5"/>
    <w:rsid w:val="00BE4CB2"/>
    <w:rsid w:val="00C0547A"/>
    <w:rsid w:val="00C15FB6"/>
    <w:rsid w:val="00C20A5E"/>
    <w:rsid w:val="00C335E4"/>
    <w:rsid w:val="00C36ED3"/>
    <w:rsid w:val="00C524AD"/>
    <w:rsid w:val="00C540ED"/>
    <w:rsid w:val="00C70FB4"/>
    <w:rsid w:val="00C7352E"/>
    <w:rsid w:val="00CA7F92"/>
    <w:rsid w:val="00CC7959"/>
    <w:rsid w:val="00CE4079"/>
    <w:rsid w:val="00CE4DD1"/>
    <w:rsid w:val="00D011DB"/>
    <w:rsid w:val="00D178AA"/>
    <w:rsid w:val="00D301C7"/>
    <w:rsid w:val="00D321CB"/>
    <w:rsid w:val="00D41086"/>
    <w:rsid w:val="00D46562"/>
    <w:rsid w:val="00D575A8"/>
    <w:rsid w:val="00D61E11"/>
    <w:rsid w:val="00D63347"/>
    <w:rsid w:val="00D81EEB"/>
    <w:rsid w:val="00D93DC0"/>
    <w:rsid w:val="00D95044"/>
    <w:rsid w:val="00DA166D"/>
    <w:rsid w:val="00DF3E2D"/>
    <w:rsid w:val="00DF54A3"/>
    <w:rsid w:val="00E0433F"/>
    <w:rsid w:val="00E20F37"/>
    <w:rsid w:val="00E25C14"/>
    <w:rsid w:val="00E3024E"/>
    <w:rsid w:val="00E3240C"/>
    <w:rsid w:val="00E32B29"/>
    <w:rsid w:val="00E379BC"/>
    <w:rsid w:val="00E536A3"/>
    <w:rsid w:val="00E7410B"/>
    <w:rsid w:val="00E87BC6"/>
    <w:rsid w:val="00E94268"/>
    <w:rsid w:val="00EB24D7"/>
    <w:rsid w:val="00EC0608"/>
    <w:rsid w:val="00EC6FCD"/>
    <w:rsid w:val="00EF160A"/>
    <w:rsid w:val="00F02915"/>
    <w:rsid w:val="00F109CF"/>
    <w:rsid w:val="00F119E5"/>
    <w:rsid w:val="00F22ADF"/>
    <w:rsid w:val="00F27E2B"/>
    <w:rsid w:val="00F32307"/>
    <w:rsid w:val="00F34C1F"/>
    <w:rsid w:val="00F36B6A"/>
    <w:rsid w:val="00F37901"/>
    <w:rsid w:val="00F46827"/>
    <w:rsid w:val="00F50C30"/>
    <w:rsid w:val="00F51F68"/>
    <w:rsid w:val="00F64A60"/>
    <w:rsid w:val="00F67C52"/>
    <w:rsid w:val="00F71765"/>
    <w:rsid w:val="00F7213B"/>
    <w:rsid w:val="00F83C24"/>
    <w:rsid w:val="00F85CE9"/>
    <w:rsid w:val="00FA070E"/>
    <w:rsid w:val="00FA3605"/>
    <w:rsid w:val="00FB33C5"/>
    <w:rsid w:val="00FB49C2"/>
    <w:rsid w:val="00FC6F44"/>
    <w:rsid w:val="00FC7BDA"/>
    <w:rsid w:val="00FD27A1"/>
    <w:rsid w:val="00FE4E32"/>
    <w:rsid w:val="00FE59A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CC10"/>
  <w15:docId w15:val="{7D5F3AE3-75DA-4EEF-AAB9-2A57C47F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79C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C503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030"/>
    <w:pPr>
      <w:widowControl w:val="0"/>
      <w:shd w:val="clear" w:color="auto" w:fill="FFFFFF"/>
      <w:spacing w:after="480" w:line="0" w:lineRule="atLeast"/>
    </w:pPr>
    <w:rPr>
      <w:rFonts w:eastAsia="Times New Roman"/>
      <w:sz w:val="20"/>
      <w:szCs w:val="20"/>
    </w:rPr>
  </w:style>
  <w:style w:type="character" w:customStyle="1" w:styleId="211pt">
    <w:name w:val="Основной текст (2) + 11 pt"/>
    <w:rsid w:val="003C5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UnicodeMS10pt0pt">
    <w:name w:val="Основной текст (2) + Arial Unicode MS;10 pt;Курсив;Интервал 0 pt"/>
    <w:rsid w:val="003C5030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3C50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link w:val="a4"/>
    <w:rsid w:val="00687A68"/>
    <w:rPr>
      <w:rFonts w:eastAsia="Times New Roman"/>
      <w:sz w:val="22"/>
      <w:szCs w:val="22"/>
      <w:shd w:val="clear" w:color="auto" w:fill="FFFFFF"/>
    </w:rPr>
  </w:style>
  <w:style w:type="paragraph" w:customStyle="1" w:styleId="a4">
    <w:name w:val="Колонтитул"/>
    <w:basedOn w:val="a"/>
    <w:link w:val="a3"/>
    <w:rsid w:val="00687A68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character" w:customStyle="1" w:styleId="2115pt">
    <w:name w:val="Основной текст (2) + 11;5 pt;Полужирный"/>
    <w:rsid w:val="00305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16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6910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16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6910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479C"/>
    <w:rPr>
      <w:rFonts w:ascii="Tahoma" w:eastAsia="Times New Roman" w:hAnsi="Tahoma"/>
      <w:sz w:val="24"/>
      <w:szCs w:val="16"/>
    </w:rPr>
  </w:style>
  <w:style w:type="character" w:customStyle="1" w:styleId="aa">
    <w:name w:val="Текст выноски Знак"/>
    <w:link w:val="a9"/>
    <w:uiPriority w:val="99"/>
    <w:semiHidden/>
    <w:rsid w:val="0090479C"/>
    <w:rPr>
      <w:rFonts w:ascii="Tahoma" w:eastAsia="Times New Roman" w:hAnsi="Tahoma"/>
      <w:sz w:val="24"/>
      <w:szCs w:val="16"/>
      <w:lang w:eastAsia="en-US"/>
    </w:rPr>
  </w:style>
  <w:style w:type="character" w:styleId="ab">
    <w:name w:val="annotation reference"/>
    <w:uiPriority w:val="99"/>
    <w:semiHidden/>
    <w:unhideWhenUsed/>
    <w:rsid w:val="00930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096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3096C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096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3096C"/>
    <w:rPr>
      <w:b/>
      <w:bCs/>
      <w:lang w:eastAsia="en-US"/>
    </w:rPr>
  </w:style>
  <w:style w:type="character" w:customStyle="1" w:styleId="highlightedsearchterm">
    <w:name w:val="highlightedsearchterm"/>
    <w:basedOn w:val="a0"/>
    <w:rsid w:val="008578A2"/>
  </w:style>
  <w:style w:type="table" w:styleId="af0">
    <w:name w:val="Table Grid"/>
    <w:basedOn w:val="a1"/>
    <w:uiPriority w:val="59"/>
    <w:rsid w:val="002D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5353DB"/>
    <w:pPr>
      <w:spacing w:after="120"/>
    </w:pPr>
    <w:rPr>
      <w:rFonts w:cstheme="minorBidi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5353DB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346A7-7817-417F-887C-82353624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3</cp:revision>
  <cp:lastPrinted>2025-08-01T02:16:00Z</cp:lastPrinted>
  <dcterms:created xsi:type="dcterms:W3CDTF">2025-08-01T00:38:00Z</dcterms:created>
  <dcterms:modified xsi:type="dcterms:W3CDTF">2025-08-01T02:18:00Z</dcterms:modified>
</cp:coreProperties>
</file>