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B6" w:rsidRPr="00467ABC" w:rsidRDefault="00AA1EB6" w:rsidP="00C736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1EB6" w:rsidRPr="00467ABC" w:rsidRDefault="00AA1EB6" w:rsidP="00C736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A1EB6" w:rsidRPr="00467ABC" w:rsidRDefault="00AA1EB6" w:rsidP="00C736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1EB6" w:rsidRPr="00467ABC" w:rsidRDefault="00AA1EB6" w:rsidP="00C736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EB6" w:rsidRPr="00467ABC" w:rsidRDefault="00AA1EB6" w:rsidP="00C7364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C7364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30.01.2018    № 38</w:t>
      </w:r>
    </w:p>
    <w:p w:rsidR="00AA1EB6" w:rsidRPr="00467ABC" w:rsidRDefault="00AA1EB6" w:rsidP="00C7364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п. Чегдомын</w:t>
      </w:r>
    </w:p>
    <w:p w:rsidR="00AA1EB6" w:rsidRDefault="00AA1EB6" w:rsidP="00C73647">
      <w:pPr>
        <w:spacing w:line="240" w:lineRule="exact"/>
        <w:jc w:val="both"/>
        <w:rPr>
          <w:sz w:val="28"/>
          <w:szCs w:val="28"/>
        </w:rPr>
      </w:pPr>
    </w:p>
    <w:p w:rsidR="00AA1EB6" w:rsidRDefault="00AA1EB6" w:rsidP="005836F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A1EB6" w:rsidRDefault="00AA1EB6" w:rsidP="005836FF">
      <w:pPr>
        <w:widowControl w:val="0"/>
        <w:spacing w:line="240" w:lineRule="exact"/>
        <w:ind w:right="28"/>
        <w:jc w:val="both"/>
        <w:rPr>
          <w:sz w:val="28"/>
          <w:szCs w:val="28"/>
        </w:rPr>
      </w:pPr>
    </w:p>
    <w:p w:rsidR="00AA1EB6" w:rsidRDefault="00AA1EB6" w:rsidP="005836FF">
      <w:pPr>
        <w:widowControl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 мер пожарной безопасности поселка Шахтинский на 2014-2020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ды», утвержденную постановлением администрации   Верхнебуреинского муниципального района от 11.10.2013 № 973.</w:t>
      </w:r>
    </w:p>
    <w:p w:rsidR="00AA1EB6" w:rsidRDefault="00AA1EB6" w:rsidP="005836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Pr="00860D30" w:rsidRDefault="00AA1EB6" w:rsidP="005836FF">
      <w:pPr>
        <w:widowControl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Pr="00860D30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Верхнебуреинского муниципального района от 02.02.2017 № 47 «Об утверждении порядка принятия решения о разработке муниципальных программ Верхнебуреинского муниципального района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баровского края, их формирования и реализации и Порядка проведения оценки эффективности реализации муниципальных программ</w:t>
      </w:r>
      <w:r w:rsidRPr="00FD1B5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 Хабаровского края»,  Уставом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 Хабаровского края, решениями Собрания депутатов от 11.12.2017 № 148 «О районном бюджете на 2018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2019 и 2020 годов» и от 21.12.2017 № 152 «О районном бюджете на 2017 год и плановый период 2018 и 2019 годов»</w:t>
      </w:r>
      <w:r w:rsidRPr="00860D30">
        <w:rPr>
          <w:sz w:val="28"/>
          <w:szCs w:val="28"/>
        </w:rPr>
        <w:t xml:space="preserve"> администрация района</w:t>
      </w:r>
    </w:p>
    <w:p w:rsidR="00AA1EB6" w:rsidRDefault="00AA1EB6" w:rsidP="005836FF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EB6" w:rsidRDefault="00AA1EB6" w:rsidP="005836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4787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Pr="00447871">
        <w:rPr>
          <w:rFonts w:ascii="Times New Roman" w:hAnsi="Times New Roman" w:cs="Times New Roman"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</w:t>
      </w:r>
      <w:r w:rsidRPr="00447871">
        <w:rPr>
          <w:rFonts w:ascii="Times New Roman" w:hAnsi="Times New Roman" w:cs="Times New Roman"/>
          <w:sz w:val="28"/>
          <w:szCs w:val="28"/>
        </w:rPr>
        <w:t>р</w:t>
      </w:r>
      <w:r w:rsidRPr="00447871">
        <w:rPr>
          <w:rFonts w:ascii="Times New Roman" w:hAnsi="Times New Roman" w:cs="Times New Roman"/>
          <w:sz w:val="28"/>
          <w:szCs w:val="28"/>
        </w:rPr>
        <w:t>вичных мер пожарной безопасности поселка Шахтинский на 2014-2020 г</w:t>
      </w:r>
      <w:r w:rsidRPr="00447871">
        <w:rPr>
          <w:rFonts w:ascii="Times New Roman" w:hAnsi="Times New Roman" w:cs="Times New Roman"/>
          <w:sz w:val="28"/>
          <w:szCs w:val="28"/>
        </w:rPr>
        <w:t>о</w:t>
      </w:r>
      <w:r w:rsidRPr="00447871">
        <w:rPr>
          <w:rFonts w:ascii="Times New Roman" w:hAnsi="Times New Roman" w:cs="Times New Roman"/>
          <w:sz w:val="28"/>
          <w:szCs w:val="28"/>
        </w:rPr>
        <w:t xml:space="preserve">ды», утвержденную постановлением администрации  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11.10.2013 № 973</w:t>
      </w:r>
      <w:r w:rsidRPr="00447871">
        <w:rPr>
          <w:rFonts w:ascii="Times New Roman" w:hAnsi="Times New Roman" w:cs="Times New Roman"/>
          <w:sz w:val="28"/>
          <w:szCs w:val="28"/>
        </w:rPr>
        <w:t>, изложив её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редакции, согласно приложению к настоящему постановлению.</w:t>
      </w:r>
    </w:p>
    <w:p w:rsidR="00AA1EB6" w:rsidRDefault="00AA1EB6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Верхнебуреинского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Лещука А.В.</w:t>
      </w:r>
    </w:p>
    <w:p w:rsidR="00AA1EB6" w:rsidRDefault="00AA1EB6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AA1EB6" w:rsidRDefault="00AA1EB6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5836FF">
      <w:pPr>
        <w:widowControl w:val="0"/>
        <w:ind w:right="-108"/>
        <w:rPr>
          <w:sz w:val="28"/>
          <w:szCs w:val="28"/>
        </w:rPr>
      </w:pPr>
    </w:p>
    <w:p w:rsidR="00AA1EB6" w:rsidRDefault="00AA1EB6" w:rsidP="005836FF">
      <w:pPr>
        <w:widowControl w:val="0"/>
        <w:ind w:right="-108"/>
        <w:rPr>
          <w:sz w:val="28"/>
          <w:szCs w:val="28"/>
        </w:rPr>
      </w:pPr>
    </w:p>
    <w:p w:rsidR="00AA1EB6" w:rsidRDefault="00AA1EB6" w:rsidP="005836FF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П.Ф. Титков </w:t>
      </w: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A1EB6" w:rsidTr="00E45E2A">
        <w:tc>
          <w:tcPr>
            <w:tcW w:w="5508" w:type="dxa"/>
          </w:tcPr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Приложение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к постановлению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администрации района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30.01.2018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УТВЕРЖДЕНО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 xml:space="preserve">постановлением 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администрации района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E45E2A">
              <w:rPr>
                <w:sz w:val="28"/>
                <w:szCs w:val="28"/>
              </w:rPr>
              <w:t>от 11.10.2013  № 973</w:t>
            </w:r>
          </w:p>
          <w:p w:rsidR="00AA1EB6" w:rsidRPr="00E45E2A" w:rsidRDefault="00AA1EB6" w:rsidP="00E45E2A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AA1EB6" w:rsidRPr="00F94FB8" w:rsidRDefault="00AA1EB6" w:rsidP="00E55D67">
      <w:pPr>
        <w:widowControl w:val="0"/>
        <w:ind w:right="-108"/>
        <w:jc w:val="right"/>
        <w:rPr>
          <w:sz w:val="28"/>
          <w:szCs w:val="28"/>
        </w:rPr>
      </w:pPr>
    </w:p>
    <w:p w:rsidR="00AA1EB6" w:rsidRPr="00F94FB8" w:rsidRDefault="00AA1EB6" w:rsidP="00E55D67">
      <w:pPr>
        <w:widowControl w:val="0"/>
        <w:ind w:right="-108"/>
        <w:jc w:val="right"/>
        <w:rPr>
          <w:sz w:val="28"/>
          <w:szCs w:val="28"/>
        </w:rPr>
      </w:pPr>
    </w:p>
    <w:p w:rsidR="00AA1EB6" w:rsidRDefault="00AA1EB6" w:rsidP="00E55D67">
      <w:pPr>
        <w:widowControl w:val="0"/>
        <w:ind w:right="-108"/>
        <w:jc w:val="right"/>
        <w:rPr>
          <w:sz w:val="28"/>
          <w:szCs w:val="28"/>
        </w:rPr>
      </w:pPr>
    </w:p>
    <w:p w:rsidR="00AA1EB6" w:rsidRDefault="00AA1EB6" w:rsidP="00EA34CA">
      <w:pPr>
        <w:widowControl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AA1EB6" w:rsidRPr="00874BEC" w:rsidRDefault="00AA1EB6" w:rsidP="00EA34CA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ектах, обеспечения первичных мер пожарной безопасности поселка Шахти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ский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1EB6" w:rsidRPr="00EA34CA" w:rsidRDefault="00AA1EB6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ПАСПОРТ</w:t>
      </w:r>
    </w:p>
    <w:p w:rsidR="00AA1EB6" w:rsidRDefault="00AA1EB6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A1EB6" w:rsidRDefault="00AA1EB6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FA6D17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ектах, обеспечения первичных мер пожарной безопасности поселка Шахти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ский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AA1EB6" w:rsidRPr="00EA34CA" w:rsidRDefault="00AA1EB6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AA1EB6" w:rsidRPr="008579A4" w:rsidRDefault="00AA1EB6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AA1EB6" w:rsidRPr="00EB364F" w:rsidTr="0009334A">
        <w:tc>
          <w:tcPr>
            <w:tcW w:w="3936" w:type="dxa"/>
          </w:tcPr>
          <w:p w:rsidR="00AA1EB6" w:rsidRPr="00EB364F" w:rsidRDefault="00AA1EB6" w:rsidP="00BC43F3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AA1EB6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Pr="00EB364F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B6" w:rsidRPr="00EB364F" w:rsidTr="0009334A">
        <w:tc>
          <w:tcPr>
            <w:tcW w:w="3936" w:type="dxa"/>
          </w:tcPr>
          <w:p w:rsidR="00AA1EB6" w:rsidRPr="00EB364F" w:rsidRDefault="00AA1EB6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делам гражданской обороны, чрезвычайным ситуациям (сектор по делам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администрации Верхнебуреинского муниципального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AA1EB6" w:rsidRDefault="00AA1EB6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Pr="00EB364F" w:rsidRDefault="00AA1EB6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B6" w:rsidRPr="00EB364F" w:rsidTr="0009334A">
        <w:tc>
          <w:tcPr>
            <w:tcW w:w="3936" w:type="dxa"/>
          </w:tcPr>
          <w:p w:rsidR="00AA1EB6" w:rsidRPr="00EB364F" w:rsidRDefault="00AA1EB6" w:rsidP="00363E2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закупок, МКУ ЕДДС.</w:t>
            </w:r>
          </w:p>
          <w:p w:rsidR="00AA1EB6" w:rsidRDefault="00AA1EB6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Pr="00EB364F" w:rsidRDefault="00AA1EB6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B6" w:rsidRPr="00EB364F" w:rsidTr="004326F8">
        <w:trPr>
          <w:trHeight w:val="2060"/>
        </w:trPr>
        <w:tc>
          <w:tcPr>
            <w:tcW w:w="3936" w:type="dxa"/>
            <w:vAlign w:val="center"/>
          </w:tcPr>
          <w:p w:rsidR="00AA1EB6" w:rsidRPr="00EB364F" w:rsidRDefault="00AA1EB6" w:rsidP="0009334A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 программы – 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граждан от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рактера, пожарной безопасности и без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EB6" w:rsidRDefault="00AA1EB6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Default="00AA1EB6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Pr="00EB364F" w:rsidRDefault="00AA1EB6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B6" w:rsidRPr="00EB364F" w:rsidTr="004326F8">
        <w:trPr>
          <w:trHeight w:val="5391"/>
        </w:trPr>
        <w:tc>
          <w:tcPr>
            <w:tcW w:w="3936" w:type="dxa"/>
          </w:tcPr>
          <w:p w:rsidR="00AA1EB6" w:rsidRDefault="00AA1EB6" w:rsidP="00EB364F">
            <w:pPr>
              <w:pStyle w:val="Con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Pr="00EB364F" w:rsidRDefault="00AA1EB6" w:rsidP="0009334A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B04BC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B6" w:rsidRDefault="00AA1EB6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AA1EB6" w:rsidRDefault="00AA1EB6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AA1EB6" w:rsidRDefault="00AA1EB6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первичных мер пожарной безопасности п. Шахтинский.</w:t>
            </w:r>
          </w:p>
          <w:p w:rsidR="00AA1EB6" w:rsidRDefault="00AA1EB6" w:rsidP="004326F8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AA1EB6" w:rsidRPr="00EB364F" w:rsidTr="00A44D4B">
        <w:trPr>
          <w:trHeight w:val="853"/>
        </w:trPr>
        <w:tc>
          <w:tcPr>
            <w:tcW w:w="3936" w:type="dxa"/>
          </w:tcPr>
          <w:p w:rsidR="00AA1EB6" w:rsidRDefault="00AA1EB6" w:rsidP="00A44D4B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реализуемых в рамках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BC43F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 содержит подпрограмм</w:t>
            </w:r>
          </w:p>
        </w:tc>
      </w:tr>
      <w:tr w:rsidR="00AA1EB6" w:rsidRPr="00EB364F" w:rsidTr="0009334A">
        <w:tc>
          <w:tcPr>
            <w:tcW w:w="3936" w:type="dxa"/>
          </w:tcPr>
          <w:p w:rsidR="00AA1EB6" w:rsidRPr="00EB364F" w:rsidRDefault="00AA1EB6" w:rsidP="00EB593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(измеряемые количественные показатели решения поставленных задач и хода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рограммы)</w:t>
            </w:r>
          </w:p>
        </w:tc>
        <w:tc>
          <w:tcPr>
            <w:tcW w:w="5295" w:type="dxa"/>
          </w:tcPr>
          <w:p w:rsidR="00AA1EB6" w:rsidRPr="004B1761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ресурсов для ликвидации чрезвычайных ситуаций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в тыс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  <w:p w:rsidR="00AA1EB6" w:rsidRPr="004B1761" w:rsidRDefault="00AA1EB6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системы оповещения и информирования населения о   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опасностях (охват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человек)</w:t>
            </w:r>
          </w:p>
          <w:p w:rsidR="00AA1EB6" w:rsidRDefault="00AA1EB6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 на водных объектах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  <w:p w:rsidR="00AA1EB6" w:rsidRPr="00EB364F" w:rsidRDefault="00AA1EB6" w:rsidP="005376C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бытовых и техногенных пожаров на территории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Шахтинский, выполнение комплекса мероприятий по защите п. Шахтинский от лесных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EB6" w:rsidRPr="00EB364F" w:rsidTr="0009334A">
        <w:tc>
          <w:tcPr>
            <w:tcW w:w="3936" w:type="dxa"/>
          </w:tcPr>
          <w:p w:rsidR="00AA1EB6" w:rsidRPr="00ED67B4" w:rsidRDefault="00AA1EB6" w:rsidP="00ED67B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Pr="006943CD" w:rsidRDefault="00AA1EB6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ситуациях,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уровню предыдущего года</w:t>
            </w: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 xml:space="preserve"> – ед. человек;</w:t>
            </w:r>
          </w:p>
          <w:p w:rsidR="00AA1EB6" w:rsidRPr="006943CD" w:rsidRDefault="00AA1EB6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2. Накопление материальных ресурсов для ликвидации чрезвычайных ситуаций - тысяч рублей;</w:t>
            </w:r>
          </w:p>
          <w:p w:rsidR="00AA1EB6" w:rsidRPr="006943CD" w:rsidRDefault="00AA1EB6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AA1EB6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AA1EB6" w:rsidRPr="00EB364F" w:rsidTr="0009334A">
        <w:tc>
          <w:tcPr>
            <w:tcW w:w="3936" w:type="dxa"/>
          </w:tcPr>
          <w:p w:rsidR="00AA1EB6" w:rsidRPr="0076637B" w:rsidRDefault="00AA1EB6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AA1EB6" w:rsidRDefault="00AA1EB6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Настоящая муниципальная программа реализуется в течение 2014 - 2020 годов и включает 7 этапов:</w:t>
            </w:r>
          </w:p>
          <w:p w:rsidR="00AA1EB6" w:rsidRDefault="00AA1EB6" w:rsidP="001C0FE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1-й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2-й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3-й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EB6" w:rsidRDefault="00AA1EB6" w:rsidP="001C0FE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EB6" w:rsidRDefault="00AA1EB6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EB6" w:rsidRDefault="00AA1EB6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1EB6" w:rsidRPr="00C71181" w:rsidRDefault="00AA1EB6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A1EB6" w:rsidRPr="00C71181" w:rsidTr="0009334A">
        <w:tc>
          <w:tcPr>
            <w:tcW w:w="3936" w:type="dxa"/>
          </w:tcPr>
          <w:p w:rsidR="00AA1EB6" w:rsidRPr="0076637B" w:rsidRDefault="00AA1EB6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бюджета поселений, внебюджетных средств по годам реализации</w:t>
            </w:r>
          </w:p>
        </w:tc>
        <w:tc>
          <w:tcPr>
            <w:tcW w:w="5295" w:type="dxa"/>
          </w:tcPr>
          <w:p w:rsidR="00AA1EB6" w:rsidRPr="00501496" w:rsidRDefault="00AA1EB6" w:rsidP="003624F5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за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бюджета. Объем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местного бюджета, необходимый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Pr="0041198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составляет на 2014 - 2020 годы </w:t>
            </w:r>
            <w:r w:rsidRPr="00DA6AB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DA6A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1EB6" w:rsidRPr="00501496" w:rsidRDefault="00AA1EB6" w:rsidP="00735601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 </w:t>
            </w:r>
          </w:p>
          <w:p w:rsidR="00AA1EB6" w:rsidRPr="00501496" w:rsidRDefault="00AA1EB6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2014 год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AA1EB6" w:rsidRPr="00501496" w:rsidRDefault="00AA1EB6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2015 год – 1838,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AA1EB6" w:rsidRPr="00501496" w:rsidRDefault="00AA1EB6" w:rsidP="00F92A4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2016 год – 1767,470 тыс. руб.;</w:t>
            </w:r>
          </w:p>
          <w:p w:rsidR="00AA1EB6" w:rsidRPr="00DA6AB2" w:rsidRDefault="00AA1EB6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2150,261 тыс. руб.; </w:t>
            </w:r>
          </w:p>
          <w:p w:rsidR="00AA1EB6" w:rsidRPr="00DA6AB2" w:rsidRDefault="00AA1EB6" w:rsidP="00F92A4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DA6AB2">
              <w:rPr>
                <w:sz w:val="28"/>
                <w:szCs w:val="28"/>
              </w:rPr>
              <w:t>2018 год – 1994,000 тыс. руб.;</w:t>
            </w:r>
          </w:p>
          <w:p w:rsidR="00AA1EB6" w:rsidRPr="00DA6AB2" w:rsidRDefault="00AA1EB6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2">
              <w:rPr>
                <w:rFonts w:ascii="Times New Roman" w:hAnsi="Times New Roman" w:cs="Times New Roman"/>
                <w:sz w:val="28"/>
                <w:szCs w:val="28"/>
              </w:rPr>
              <w:t>2019 год – 2140,000</w:t>
            </w:r>
            <w:r w:rsidRPr="00DA6AB2">
              <w:rPr>
                <w:sz w:val="28"/>
                <w:szCs w:val="28"/>
              </w:rPr>
              <w:t xml:space="preserve"> </w:t>
            </w:r>
            <w:r w:rsidRPr="00DA6AB2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AA1EB6" w:rsidRPr="00C71181" w:rsidRDefault="00AA1EB6" w:rsidP="009739CA">
            <w:pPr>
              <w:shd w:val="clear" w:color="auto" w:fill="FFFFFF"/>
              <w:tabs>
                <w:tab w:val="left" w:pos="3944"/>
              </w:tabs>
              <w:spacing w:line="360" w:lineRule="auto"/>
              <w:ind w:right="67" w:firstLine="33"/>
              <w:jc w:val="both"/>
              <w:rPr>
                <w:sz w:val="28"/>
                <w:szCs w:val="28"/>
              </w:rPr>
            </w:pPr>
            <w:r w:rsidRPr="00DA6AB2">
              <w:rPr>
                <w:sz w:val="28"/>
                <w:szCs w:val="28"/>
              </w:rPr>
              <w:t>2020 год – 2140,000 тыс. руб.</w:t>
            </w:r>
            <w:r w:rsidRPr="00DA6AB2">
              <w:rPr>
                <w:sz w:val="28"/>
                <w:szCs w:val="28"/>
              </w:rPr>
              <w:tab/>
            </w:r>
          </w:p>
        </w:tc>
      </w:tr>
      <w:tr w:rsidR="00AA1EB6" w:rsidRPr="00C71181" w:rsidTr="00DB57BC">
        <w:trPr>
          <w:trHeight w:val="4130"/>
        </w:trPr>
        <w:tc>
          <w:tcPr>
            <w:tcW w:w="3936" w:type="dxa"/>
          </w:tcPr>
          <w:p w:rsidR="00AA1EB6" w:rsidRPr="00325736" w:rsidRDefault="00AA1EB6" w:rsidP="00DB57B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295" w:type="dxa"/>
          </w:tcPr>
          <w:p w:rsidR="00AA1EB6" w:rsidRDefault="00AA1EB6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AA1EB6" w:rsidRDefault="00AA1EB6" w:rsidP="00325736">
            <w:pPr>
              <w:pStyle w:val="ConsPlusCell"/>
              <w:numPr>
                <w:ilvl w:val="0"/>
                <w:numId w:val="10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резерва м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териальных ресурсов, проведение пр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вентивных мероприятий, совершенств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вание оповещения и информирования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EB6" w:rsidRPr="00325736" w:rsidRDefault="00AA1EB6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п. Шахтинский</w:t>
            </w:r>
          </w:p>
          <w:p w:rsidR="00AA1EB6" w:rsidRPr="00325736" w:rsidRDefault="00AA1EB6" w:rsidP="0032573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Содержание МКУ ЕДДС.</w:t>
            </w:r>
          </w:p>
          <w:p w:rsidR="00AA1EB6" w:rsidRDefault="00AA1EB6" w:rsidP="00325736">
            <w:pPr>
              <w:pStyle w:val="ConsNormal"/>
              <w:widowControl/>
              <w:suppressAutoHyphens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EB6" w:rsidRDefault="00AA1EB6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Pr="002D7821" w:rsidRDefault="00AA1EB6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8E">
        <w:rPr>
          <w:rFonts w:ascii="Times New Roman" w:hAnsi="Times New Roman" w:cs="Times New Roman"/>
          <w:sz w:val="28"/>
          <w:szCs w:val="28"/>
        </w:rPr>
        <w:t xml:space="preserve">1. </w:t>
      </w:r>
      <w:r w:rsidRPr="002D782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</w:t>
      </w:r>
      <w:r w:rsidRPr="002D7821">
        <w:rPr>
          <w:rFonts w:ascii="Times New Roman" w:hAnsi="Times New Roman" w:cs="Times New Roman"/>
          <w:b/>
          <w:sz w:val="28"/>
          <w:szCs w:val="28"/>
        </w:rPr>
        <w:t>е</w:t>
      </w:r>
      <w:r w:rsidRPr="002D7821">
        <w:rPr>
          <w:rFonts w:ascii="Times New Roman" w:hAnsi="Times New Roman" w:cs="Times New Roman"/>
          <w:b/>
          <w:sz w:val="28"/>
          <w:szCs w:val="28"/>
        </w:rPr>
        <w:t>ления и территорий от чрезвычайных ситуаций, состояния пожарной безопасности п. Шахтинский</w:t>
      </w:r>
    </w:p>
    <w:p w:rsidR="00AA1EB6" w:rsidRPr="00E26B8E" w:rsidRDefault="00AA1EB6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5E6554">
        <w:rPr>
          <w:sz w:val="28"/>
          <w:szCs w:val="28"/>
        </w:rPr>
        <w:t>1.</w:t>
      </w:r>
      <w:r>
        <w:rPr>
          <w:sz w:val="28"/>
          <w:szCs w:val="28"/>
        </w:rPr>
        <w:t>1. За период 2011-2013 годы на территории Верхнебуреинского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зарегистрировано 7 чрезвычайных ситуаций 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событий на ликвидацию последствий, от которых было израсходов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более 21 млн. рублей из краевого и районного бюджетов. Бюджеты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и сельских поселений района, как правило, не имеют достаточных финансовых средств для ликвидации чрезвычайных ситуаций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характера. Положение о </w:t>
      </w:r>
      <w:r w:rsidRPr="00B403F1">
        <w:rPr>
          <w:sz w:val="28"/>
          <w:szCs w:val="28"/>
        </w:rPr>
        <w:t>создании резервов финансовых и материал</w:t>
      </w:r>
      <w:r w:rsidRPr="00B403F1">
        <w:rPr>
          <w:sz w:val="28"/>
          <w:szCs w:val="28"/>
        </w:rPr>
        <w:t>ь</w:t>
      </w:r>
      <w:r w:rsidRPr="00B403F1">
        <w:rPr>
          <w:sz w:val="28"/>
          <w:szCs w:val="28"/>
        </w:rPr>
        <w:t xml:space="preserve">ных ресурсов и их использовании при ликвидации чрезвычайных ситуаций и в целях гражданской обороны на территории Верхнебуреинского 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Pr="00B40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местного характера, произошедшие на объектах находящихся в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муниципального района. Вместе с этим с целью минимизации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чрезвычайных ситуаций и их недопущения необходимо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механизмы их предотвращения в угрожаемый период и заблаговреме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но. Мероприятия, проводимые для этих целей,  будут финансироваться из районного, краевого бюджетов и из иных источников.</w:t>
      </w:r>
    </w:p>
    <w:p w:rsidR="00AA1EB6" w:rsidRPr="005807D4" w:rsidRDefault="00AA1EB6" w:rsidP="005807D4">
      <w:pPr>
        <w:ind w:firstLine="709"/>
        <w:jc w:val="both"/>
        <w:rPr>
          <w:sz w:val="28"/>
          <w:szCs w:val="28"/>
        </w:rPr>
      </w:pPr>
      <w:r w:rsidRPr="005807D4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</w:t>
      </w:r>
      <w:r w:rsidRPr="005807D4">
        <w:rPr>
          <w:sz w:val="28"/>
          <w:szCs w:val="28"/>
        </w:rPr>
        <w:t>е</w:t>
      </w:r>
      <w:r w:rsidRPr="005807D4">
        <w:rPr>
          <w:sz w:val="28"/>
          <w:szCs w:val="28"/>
        </w:rPr>
        <w:t>ра» (ст. 11, п. 2) обязывает органы местного самоуправления создавать резе</w:t>
      </w:r>
      <w:r w:rsidRPr="005807D4">
        <w:rPr>
          <w:sz w:val="28"/>
          <w:szCs w:val="28"/>
        </w:rPr>
        <w:t>р</w:t>
      </w:r>
      <w:r w:rsidRPr="005807D4">
        <w:rPr>
          <w:sz w:val="28"/>
          <w:szCs w:val="28"/>
        </w:rPr>
        <w:t>вы финансовых и материальных ресурсов для ликвидации чрезвычайных с</w:t>
      </w:r>
      <w:r w:rsidRPr="005807D4">
        <w:rPr>
          <w:sz w:val="28"/>
          <w:szCs w:val="28"/>
        </w:rPr>
        <w:t>и</w:t>
      </w:r>
      <w:r w:rsidRPr="005807D4">
        <w:rPr>
          <w:sz w:val="28"/>
          <w:szCs w:val="28"/>
        </w:rPr>
        <w:t>туаций. В период 2007 -</w:t>
      </w:r>
      <w:r>
        <w:rPr>
          <w:sz w:val="28"/>
          <w:szCs w:val="28"/>
        </w:rPr>
        <w:t xml:space="preserve"> </w:t>
      </w:r>
      <w:r w:rsidRPr="005807D4">
        <w:rPr>
          <w:sz w:val="28"/>
          <w:szCs w:val="28"/>
        </w:rPr>
        <w:t xml:space="preserve">2013 годы в Порядке, утвержденном постановлением администрации района от 03.08.2010 № 69 </w:t>
      </w:r>
      <w:r>
        <w:rPr>
          <w:sz w:val="28"/>
          <w:szCs w:val="28"/>
        </w:rPr>
        <w:t>«</w:t>
      </w:r>
      <w:r w:rsidRPr="005807D4">
        <w:rPr>
          <w:sz w:val="28"/>
          <w:szCs w:val="28"/>
        </w:rPr>
        <w:t>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</w:t>
      </w:r>
      <w:r>
        <w:rPr>
          <w:sz w:val="28"/>
          <w:szCs w:val="28"/>
        </w:rPr>
        <w:t>» создан районный резерв объемом 1,3 млн. рублей. В настоящее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стоит задача его пополнения и расширения номенклатуры.</w:t>
      </w:r>
    </w:p>
    <w:p w:rsidR="00AA1EB6" w:rsidRDefault="00AA1EB6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3BE4">
        <w:rPr>
          <w:sz w:val="28"/>
          <w:szCs w:val="28"/>
        </w:rPr>
        <w:t xml:space="preserve"> </w:t>
      </w:r>
      <w:r w:rsidRPr="00FB0256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</w:t>
      </w:r>
      <w:r w:rsidRPr="00FB0256">
        <w:rPr>
          <w:sz w:val="28"/>
          <w:szCs w:val="28"/>
        </w:rPr>
        <w:t>е</w:t>
      </w:r>
      <w:r w:rsidRPr="00FB0256">
        <w:rPr>
          <w:sz w:val="28"/>
          <w:szCs w:val="28"/>
        </w:rPr>
        <w:t>дерации» к полномочиям муниципального района отнесено обеспечение первичных мер пожарной безопасности населенных пунктов, расположе</w:t>
      </w:r>
      <w:r w:rsidRPr="00FB0256">
        <w:rPr>
          <w:sz w:val="28"/>
          <w:szCs w:val="28"/>
        </w:rPr>
        <w:t>н</w:t>
      </w:r>
      <w:r w:rsidRPr="00FB0256">
        <w:rPr>
          <w:sz w:val="28"/>
          <w:szCs w:val="28"/>
        </w:rPr>
        <w:t>ных на межселенной территории. Финансовое обеспечение первичных мер пожарной безопасности в таких поселках является расходным обязательс</w:t>
      </w:r>
      <w:r w:rsidRPr="00FB0256">
        <w:rPr>
          <w:sz w:val="28"/>
          <w:szCs w:val="28"/>
        </w:rPr>
        <w:t>т</w:t>
      </w:r>
      <w:r w:rsidRPr="00FB0256">
        <w:rPr>
          <w:sz w:val="28"/>
          <w:szCs w:val="28"/>
        </w:rPr>
        <w:t>вом муниципального района.</w:t>
      </w:r>
    </w:p>
    <w:p w:rsidR="00AA1EB6" w:rsidRPr="00FB0256" w:rsidRDefault="00AA1EB6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Программы обеспечения первичных мер 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п. Шахтинский на 2011-2013 годы;</w:t>
      </w:r>
      <w:r w:rsidRPr="004355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дельные проблемы в обеспечении первичных мер пожарной безопасности на территории поселка</w:t>
      </w:r>
      <w:r w:rsidRPr="00FB0256">
        <w:rPr>
          <w:sz w:val="28"/>
          <w:szCs w:val="28"/>
        </w:rPr>
        <w:t>. К числу объективных причин, обуславливающих кра</w:t>
      </w:r>
      <w:r w:rsidRPr="00FB0256">
        <w:rPr>
          <w:sz w:val="28"/>
          <w:szCs w:val="28"/>
        </w:rPr>
        <w:t>й</w:t>
      </w:r>
      <w:r w:rsidRPr="00FB0256">
        <w:rPr>
          <w:sz w:val="28"/>
          <w:szCs w:val="28"/>
        </w:rPr>
        <w:t>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</w:t>
      </w:r>
      <w:r>
        <w:rPr>
          <w:sz w:val="28"/>
          <w:szCs w:val="28"/>
        </w:rPr>
        <w:t xml:space="preserve"> С целью минимизировать риски возникновения и негативного воздействия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товых и лесных пожаров на территорию поселка необходимо поддержание и совершенствование сложившейся системы обеспечения первичных мер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безопасности.</w:t>
      </w:r>
    </w:p>
    <w:p w:rsidR="00AA1EB6" w:rsidRDefault="00AA1EB6" w:rsidP="008A7240">
      <w:pPr>
        <w:autoSpaceDE w:val="0"/>
        <w:autoSpaceDN w:val="0"/>
        <w:adjustRightInd w:val="0"/>
        <w:ind w:firstLine="540"/>
        <w:jc w:val="both"/>
      </w:pPr>
      <w:r w:rsidRPr="00FB0256">
        <w:rPr>
          <w:sz w:val="28"/>
          <w:szCs w:val="28"/>
        </w:rPr>
        <w:t xml:space="preserve">1.4. </w:t>
      </w:r>
      <w:r>
        <w:rPr>
          <w:sz w:val="28"/>
          <w:szCs w:val="28"/>
        </w:rPr>
        <w:t>Положение о единой государственной системе предупреждения и ликвидации чрезвычайных ситуаций утвержденное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>
        <w:rPr>
          <w:sz w:val="28"/>
        </w:rPr>
        <w:t>Верхнебуреинском муниципальном районе органом повседневного управл</w:t>
      </w:r>
      <w:r>
        <w:rPr>
          <w:sz w:val="28"/>
        </w:rPr>
        <w:t>е</w:t>
      </w:r>
      <w:r>
        <w:rPr>
          <w:sz w:val="28"/>
        </w:rPr>
        <w:t>ния является созданное по Решению Собрания депутатов Верхнебуреинского муниципального района от 17.07.2007 № 68 муниципальное казённое учре</w:t>
      </w:r>
      <w:r>
        <w:rPr>
          <w:sz w:val="28"/>
        </w:rPr>
        <w:t>ж</w:t>
      </w:r>
      <w:r>
        <w:rPr>
          <w:sz w:val="28"/>
        </w:rPr>
        <w:t>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7D3DB2">
        <w:t xml:space="preserve"> </w:t>
      </w:r>
      <w:hyperlink r:id="rId7" w:history="1">
        <w:r w:rsidRPr="007D3DB2">
          <w:rPr>
            <w:sz w:val="28"/>
            <w:szCs w:val="28"/>
          </w:rPr>
          <w:t>Указом</w:t>
        </w:r>
      </w:hyperlink>
      <w:r w:rsidRPr="007D3DB2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D3DB2">
          <w:rPr>
            <w:sz w:val="28"/>
            <w:szCs w:val="28"/>
          </w:rPr>
          <w:t>2010 г</w:t>
        </w:r>
      </w:smartTag>
      <w:r w:rsidRPr="007D3DB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D3DB2">
        <w:rPr>
          <w:sz w:val="28"/>
          <w:szCs w:val="28"/>
        </w:rPr>
        <w:t xml:space="preserve"> 1632 "О совершенствовании системы обеспечения вызова экстренных оперативных служб на территории Российской Федерации" органам исполнительной вл</w:t>
      </w:r>
      <w:r w:rsidRPr="007D3DB2">
        <w:rPr>
          <w:sz w:val="28"/>
          <w:szCs w:val="28"/>
        </w:rPr>
        <w:t>а</w:t>
      </w:r>
      <w:r w:rsidRPr="007D3DB2">
        <w:rPr>
          <w:sz w:val="28"/>
          <w:szCs w:val="28"/>
        </w:rPr>
        <w:t>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</w:t>
      </w:r>
      <w:r w:rsidRPr="007D3DB2">
        <w:rPr>
          <w:sz w:val="28"/>
          <w:szCs w:val="28"/>
        </w:rPr>
        <w:t>и</w:t>
      </w:r>
      <w:r w:rsidRPr="007D3DB2">
        <w:rPr>
          <w:sz w:val="28"/>
          <w:szCs w:val="28"/>
        </w:rPr>
        <w:t>мых для создания, развития и организации эксплуатации системы обеспеч</w:t>
      </w:r>
      <w:r w:rsidRPr="007D3DB2">
        <w:rPr>
          <w:sz w:val="28"/>
          <w:szCs w:val="28"/>
        </w:rPr>
        <w:t>е</w:t>
      </w:r>
      <w:r w:rsidRPr="007D3DB2">
        <w:rPr>
          <w:sz w:val="28"/>
          <w:szCs w:val="28"/>
        </w:rPr>
        <w:t>ния вызова экстренных оперативных служб по единому номеру "112"</w:t>
      </w:r>
      <w:r>
        <w:rPr>
          <w:sz w:val="28"/>
          <w:szCs w:val="28"/>
        </w:rPr>
        <w:t xml:space="preserve">. </w:t>
      </w:r>
    </w:p>
    <w:p w:rsidR="00AA1EB6" w:rsidRDefault="00AA1EB6" w:rsidP="00062244">
      <w:pPr>
        <w:pStyle w:val="ConsPlusNormal"/>
        <w:ind w:firstLine="540"/>
        <w:jc w:val="both"/>
      </w:pPr>
    </w:p>
    <w:p w:rsidR="00AA1EB6" w:rsidRDefault="00AA1EB6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2.</w:t>
      </w:r>
      <w:r w:rsidRPr="00E26B8E">
        <w:rPr>
          <w:rFonts w:ascii="Times New Roman" w:hAnsi="Times New Roman" w:cs="Times New Roman"/>
          <w:sz w:val="28"/>
          <w:szCs w:val="28"/>
        </w:rPr>
        <w:t xml:space="preserve"> </w:t>
      </w:r>
      <w:r w:rsidRPr="002D782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B6" w:rsidRPr="00E26B8E" w:rsidRDefault="00AA1EB6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Pr="00AF6CE3" w:rsidRDefault="00AA1EB6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 муниципальной п</w:t>
      </w:r>
      <w:r w:rsidRPr="00EB364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6CE3">
        <w:rPr>
          <w:rFonts w:ascii="Times New Roman" w:hAnsi="Times New Roman" w:cs="Times New Roman"/>
          <w:sz w:val="28"/>
          <w:szCs w:val="28"/>
        </w:rPr>
        <w:t>повышение уровня защ</w:t>
      </w:r>
      <w:r w:rsidRPr="00AF6CE3">
        <w:rPr>
          <w:rFonts w:ascii="Times New Roman" w:hAnsi="Times New Roman" w:cs="Times New Roman"/>
          <w:sz w:val="28"/>
          <w:szCs w:val="28"/>
        </w:rPr>
        <w:t>и</w:t>
      </w:r>
      <w:r w:rsidRPr="00AF6CE3">
        <w:rPr>
          <w:rFonts w:ascii="Times New Roman" w:hAnsi="Times New Roman" w:cs="Times New Roman"/>
          <w:sz w:val="28"/>
          <w:szCs w:val="28"/>
        </w:rPr>
        <w:t>ты граждан от чрезвычайных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CE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</w:t>
      </w:r>
      <w:r w:rsidRPr="00AF6CE3">
        <w:rPr>
          <w:rFonts w:ascii="Times New Roman" w:hAnsi="Times New Roman" w:cs="Times New Roman"/>
          <w:sz w:val="28"/>
          <w:szCs w:val="28"/>
        </w:rPr>
        <w:t>е</w:t>
      </w:r>
      <w:r w:rsidRPr="00AF6CE3">
        <w:rPr>
          <w:rFonts w:ascii="Times New Roman" w:hAnsi="Times New Roman" w:cs="Times New Roman"/>
          <w:sz w:val="28"/>
          <w:szCs w:val="28"/>
        </w:rPr>
        <w:t>ра,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 Для ее достижения выполняются следующие задачи:</w:t>
      </w:r>
    </w:p>
    <w:p w:rsidR="00AA1EB6" w:rsidRDefault="00AA1EB6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AA1EB6" w:rsidRDefault="00AA1EB6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AA1EB6" w:rsidRDefault="00AA1EB6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п. Шахтинский.</w:t>
      </w:r>
    </w:p>
    <w:p w:rsidR="00AA1EB6" w:rsidRDefault="00AA1EB6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деятельности органа повседневного управления районного звена краевой подсистемы РСЧС.</w:t>
      </w:r>
    </w:p>
    <w:p w:rsidR="00AA1EB6" w:rsidRDefault="00AA1EB6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3. Ожидаемые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</w:p>
    <w:p w:rsidR="00AA1EB6" w:rsidRPr="002D7821" w:rsidRDefault="00AA1EB6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Pr="004B1761" w:rsidRDefault="00AA1EB6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объема</w:t>
      </w:r>
      <w:r w:rsidRPr="004B1761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>материальные ресурсы в тыс</w:t>
      </w:r>
      <w:r w:rsidRPr="004B1761">
        <w:rPr>
          <w:rFonts w:ascii="Times New Roman" w:hAnsi="Times New Roman" w:cs="Times New Roman"/>
          <w:sz w:val="28"/>
          <w:szCs w:val="28"/>
        </w:rPr>
        <w:t>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EB6" w:rsidRPr="004B1761" w:rsidRDefault="00AA1EB6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4B1761">
        <w:rPr>
          <w:rFonts w:ascii="Times New Roman" w:hAnsi="Times New Roman" w:cs="Times New Roman"/>
          <w:sz w:val="28"/>
          <w:szCs w:val="28"/>
        </w:rPr>
        <w:t>Участие в развитии системы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о </w:t>
      </w:r>
      <w:r w:rsidRPr="004B1761">
        <w:rPr>
          <w:rFonts w:ascii="Times New Roman" w:hAnsi="Times New Roman" w:cs="Times New Roman"/>
          <w:sz w:val="28"/>
          <w:szCs w:val="28"/>
        </w:rPr>
        <w:t>различных опасностях (охват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оповещения</w:t>
      </w:r>
      <w:r w:rsidRPr="004B1761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EB6" w:rsidRDefault="00AA1EB6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1761">
        <w:rPr>
          <w:rFonts w:ascii="Times New Roman" w:hAnsi="Times New Roman" w:cs="Times New Roman"/>
          <w:sz w:val="28"/>
          <w:szCs w:val="28"/>
        </w:rPr>
        <w:t>Снижение количества гибели людей на водных объектах (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1761">
        <w:rPr>
          <w:rFonts w:ascii="Times New Roman" w:hAnsi="Times New Roman" w:cs="Times New Roman"/>
          <w:sz w:val="28"/>
          <w:szCs w:val="28"/>
        </w:rPr>
        <w:t>чел</w:t>
      </w:r>
      <w:r w:rsidRPr="004B1761">
        <w:rPr>
          <w:rFonts w:ascii="Times New Roman" w:hAnsi="Times New Roman" w:cs="Times New Roman"/>
          <w:sz w:val="28"/>
          <w:szCs w:val="28"/>
        </w:rPr>
        <w:t>о</w:t>
      </w:r>
      <w:r w:rsidRPr="004B1761">
        <w:rPr>
          <w:rFonts w:ascii="Times New Roman" w:hAnsi="Times New Roman" w:cs="Times New Roman"/>
          <w:sz w:val="28"/>
          <w:szCs w:val="28"/>
        </w:rPr>
        <w:t>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B6" w:rsidRDefault="00AA1EB6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1761">
        <w:rPr>
          <w:rFonts w:ascii="Times New Roman" w:hAnsi="Times New Roman" w:cs="Times New Roman"/>
          <w:sz w:val="28"/>
          <w:szCs w:val="28"/>
        </w:rPr>
        <w:t>Недопущение возникновения бытовых и техногенных пожаров на террит</w:t>
      </w:r>
      <w:r w:rsidRPr="004B1761">
        <w:rPr>
          <w:rFonts w:ascii="Times New Roman" w:hAnsi="Times New Roman" w:cs="Times New Roman"/>
          <w:sz w:val="28"/>
          <w:szCs w:val="28"/>
        </w:rPr>
        <w:t>о</w:t>
      </w:r>
      <w:r w:rsidRPr="004B1761">
        <w:rPr>
          <w:rFonts w:ascii="Times New Roman" w:hAnsi="Times New Roman" w:cs="Times New Roman"/>
          <w:sz w:val="28"/>
          <w:szCs w:val="28"/>
        </w:rPr>
        <w:t>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61">
        <w:rPr>
          <w:rFonts w:ascii="Times New Roman" w:hAnsi="Times New Roman" w:cs="Times New Roman"/>
          <w:sz w:val="28"/>
          <w:szCs w:val="28"/>
        </w:rPr>
        <w:t>Шахтинский, выполнение комплекса мероприятий по защите п. Ша</w:t>
      </w:r>
      <w:r w:rsidRPr="004B1761">
        <w:rPr>
          <w:rFonts w:ascii="Times New Roman" w:hAnsi="Times New Roman" w:cs="Times New Roman"/>
          <w:sz w:val="28"/>
          <w:szCs w:val="28"/>
        </w:rPr>
        <w:t>х</w:t>
      </w:r>
      <w:r w:rsidRPr="004B1761">
        <w:rPr>
          <w:rFonts w:ascii="Times New Roman" w:hAnsi="Times New Roman" w:cs="Times New Roman"/>
          <w:sz w:val="28"/>
          <w:szCs w:val="28"/>
        </w:rPr>
        <w:t>тинский от лесных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EB6" w:rsidRDefault="00AA1EB6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Pr="00416A1D" w:rsidRDefault="00AA1EB6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1D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</w:t>
      </w:r>
      <w:r w:rsidRPr="00416A1D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AA1EB6" w:rsidRPr="00D13F05" w:rsidRDefault="00AA1EB6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EB6" w:rsidRPr="006943CD" w:rsidRDefault="00AA1EB6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года</w:t>
      </w:r>
      <w:r w:rsidRPr="006943CD">
        <w:rPr>
          <w:rFonts w:ascii="Times New Roman" w:hAnsi="Times New Roman" w:cs="Times New Roman"/>
          <w:sz w:val="28"/>
          <w:szCs w:val="28"/>
        </w:rPr>
        <w:t xml:space="preserve"> – ед. человек;</w:t>
      </w:r>
    </w:p>
    <w:p w:rsidR="00AA1EB6" w:rsidRPr="006943CD" w:rsidRDefault="00AA1EB6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CD">
        <w:rPr>
          <w:rFonts w:ascii="Times New Roman" w:hAnsi="Times New Roman" w:cs="Times New Roman"/>
          <w:sz w:val="28"/>
          <w:szCs w:val="28"/>
        </w:rPr>
        <w:t>. Накопление материальных ресурсов для ликвидации чрезвычайных ситуаций - тысяч рублей;</w:t>
      </w:r>
    </w:p>
    <w:p w:rsidR="00AA1EB6" w:rsidRPr="006943CD" w:rsidRDefault="00AA1EB6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CD">
        <w:rPr>
          <w:rFonts w:ascii="Times New Roman" w:hAnsi="Times New Roman" w:cs="Times New Roman"/>
          <w:sz w:val="28"/>
          <w:szCs w:val="28"/>
        </w:rPr>
        <w:t>. Охват системы оповещения и информирования населения о различных опасностях - тысяч человек;</w:t>
      </w:r>
    </w:p>
    <w:p w:rsidR="00AA1EB6" w:rsidRDefault="00AA1EB6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</w:t>
      </w:r>
      <w:r w:rsidRPr="006943CD">
        <w:rPr>
          <w:rFonts w:ascii="Times New Roman" w:hAnsi="Times New Roman" w:cs="Times New Roman"/>
          <w:sz w:val="28"/>
          <w:szCs w:val="28"/>
        </w:rPr>
        <w:t>н</w:t>
      </w:r>
      <w:r w:rsidRPr="006943CD">
        <w:rPr>
          <w:rFonts w:ascii="Times New Roman" w:hAnsi="Times New Roman" w:cs="Times New Roman"/>
          <w:sz w:val="28"/>
          <w:szCs w:val="28"/>
        </w:rPr>
        <w:t>ский – ед. случаев.</w:t>
      </w:r>
    </w:p>
    <w:p w:rsidR="00AA1EB6" w:rsidRDefault="00AA1EB6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ведены в Приложении № 1.</w:t>
      </w:r>
    </w:p>
    <w:p w:rsidR="00AA1EB6" w:rsidRDefault="00AA1EB6" w:rsidP="002E7B5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A1EB6" w:rsidRPr="00DB57BC" w:rsidRDefault="00AA1EB6" w:rsidP="00DB57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4. Перечень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A1EB6" w:rsidRDefault="00AA1EB6" w:rsidP="00CE7052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52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CE7052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объектах,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 пе</w:t>
      </w:r>
      <w:r w:rsidRPr="00CE7052">
        <w:rPr>
          <w:rFonts w:ascii="Times New Roman" w:hAnsi="Times New Roman" w:cs="Times New Roman"/>
          <w:bCs/>
          <w:sz w:val="28"/>
          <w:szCs w:val="28"/>
        </w:rPr>
        <w:t>р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вичных мер пожарной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поселка Шахтинский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sz w:val="28"/>
          <w:szCs w:val="28"/>
        </w:rPr>
        <w:t>на 2014-2020 г</w:t>
      </w:r>
      <w:r w:rsidRPr="00CE7052">
        <w:rPr>
          <w:rFonts w:ascii="Times New Roman" w:hAnsi="Times New Roman" w:cs="Times New Roman"/>
          <w:sz w:val="28"/>
          <w:szCs w:val="28"/>
        </w:rPr>
        <w:t>о</w:t>
      </w:r>
      <w:r w:rsidRPr="00CE7052">
        <w:rPr>
          <w:rFonts w:ascii="Times New Roman" w:hAnsi="Times New Roman" w:cs="Times New Roman"/>
          <w:sz w:val="28"/>
          <w:szCs w:val="28"/>
        </w:rPr>
        <w:t>ды»,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p w:rsidR="00AA1EB6" w:rsidRDefault="00AA1EB6" w:rsidP="00CE7052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Pr="00CE7052" w:rsidRDefault="00AA1EB6" w:rsidP="00CE7052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AA1EB6" w:rsidRPr="00A053E1" w:rsidTr="008259E7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Default="00AA1EB6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  <w:p w:rsidR="00AA1EB6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B6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B6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1EB6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7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AA1EB6" w:rsidRPr="00A053E1" w:rsidRDefault="00AA1EB6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8259E7" w:rsidRDefault="00AA1EB6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CA60B0" w:rsidRDefault="00AA1EB6" w:rsidP="00490A99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A053E1" w:rsidRDefault="00AA1EB6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B6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резе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ва материальных ресурсов, проведение превентивных м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роприятий, совершенствов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ние оповещения и информир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AA1EB6" w:rsidRPr="00A053E1" w:rsidRDefault="00AA1EB6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A053E1" w:rsidRDefault="00AA1EB6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CA60B0" w:rsidRDefault="00AA1EB6" w:rsidP="00490A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A053E1" w:rsidRDefault="00AA1EB6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B6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AA1EB6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B6" w:rsidRPr="00A053E1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CA60B0" w:rsidRDefault="00AA1EB6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B6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795CF7" w:rsidRDefault="00AA1EB6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Сектор муниц</w:t>
            </w: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A053E1" w:rsidRDefault="00AA1EB6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B6" w:rsidRDefault="00AA1EB6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5.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A1EB6" w:rsidRPr="0076637B" w:rsidRDefault="00AA1EB6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  <w:r w:rsidRPr="0076637B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6637B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2014-2020 годов и включает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37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637B">
        <w:rPr>
          <w:rFonts w:ascii="Times New Roman" w:hAnsi="Times New Roman" w:cs="Times New Roman"/>
          <w:sz w:val="28"/>
          <w:szCs w:val="28"/>
        </w:rPr>
        <w:t>: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1-й этап - 2014 год;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 xml:space="preserve">2-й этап - 2015 год;  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3-й этап - 2016 год;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4-й этап - 2017 год;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5-й этап - 2018 год;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6-й этап - 2019 год;</w:t>
      </w:r>
    </w:p>
    <w:p w:rsidR="00AA1EB6" w:rsidRPr="0076637B" w:rsidRDefault="00AA1EB6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7-й этап - 2020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EB6" w:rsidRDefault="00AA1EB6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соответствуют очередному финансовому году с целью детального подведения основных и промежуточных итогов выполнения муниципальной программы и  корректировки муниципальной программы (при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 при формировании районного бюджета на очередной финансовый год.</w:t>
      </w:r>
    </w:p>
    <w:p w:rsidR="00AA1EB6" w:rsidRDefault="00AA1EB6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Pr="002D7821" w:rsidRDefault="00AA1EB6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6. 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A1EB6" w:rsidRDefault="00AA1EB6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исполнителями являются:</w:t>
      </w:r>
    </w:p>
    <w:p w:rsidR="00AA1EB6" w:rsidRDefault="00AA1EB6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AA1EB6" w:rsidRDefault="00AA1EB6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AA1EB6" w:rsidRDefault="00AA1EB6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</w:t>
      </w:r>
      <w:r w:rsidRPr="001F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B6" w:rsidRDefault="00AA1EB6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муниципальной Программы.</w:t>
      </w:r>
    </w:p>
    <w:p w:rsidR="00AA1EB6" w:rsidRDefault="00AA1EB6" w:rsidP="009E327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ежегодно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целевые показатели и затраты по программным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F1404C">
        <w:rPr>
          <w:rFonts w:ascii="Times New Roman" w:hAnsi="Times New Roman" w:cs="Times New Roman"/>
          <w:sz w:val="28"/>
          <w:szCs w:val="28"/>
        </w:rPr>
        <w:t xml:space="preserve">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при необходимости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 реализации муниципальной Программы,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9E327D">
        <w:rPr>
          <w:sz w:val="28"/>
          <w:szCs w:val="28"/>
        </w:rPr>
        <w:t xml:space="preserve"> </w:t>
      </w:r>
    </w:p>
    <w:p w:rsidR="00AA1EB6" w:rsidRPr="00776925" w:rsidRDefault="00AA1EB6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формир</w:t>
      </w:r>
      <w:r w:rsidRPr="00776925">
        <w:rPr>
          <w:rFonts w:ascii="Times New Roman" w:hAnsi="Times New Roman" w:cs="Times New Roman"/>
          <w:sz w:val="28"/>
          <w:szCs w:val="28"/>
        </w:rPr>
        <w:t>у</w:t>
      </w:r>
      <w:r w:rsidRPr="00776925">
        <w:rPr>
          <w:rFonts w:ascii="Times New Roman" w:hAnsi="Times New Roman" w:cs="Times New Roman"/>
          <w:sz w:val="28"/>
          <w:szCs w:val="28"/>
        </w:rPr>
        <w:t>ется ответственным исполнителем совместно с соисполнителями до 15 марта года, следующего за отчетным, и направляется в отдел по экономике и работе с малым бизнесом.</w:t>
      </w:r>
    </w:p>
    <w:p w:rsidR="00AA1EB6" w:rsidRPr="00776925" w:rsidRDefault="00AA1EB6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 xml:space="preserve">В целях оперативного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7692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осуществляют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76925">
        <w:rPr>
          <w:rFonts w:ascii="Times New Roman" w:hAnsi="Times New Roman" w:cs="Times New Roman"/>
          <w:sz w:val="28"/>
          <w:szCs w:val="28"/>
        </w:rPr>
        <w:t>первое полугодие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FAC">
        <w:rPr>
          <w:rFonts w:ascii="Times New Roman" w:hAnsi="Times New Roman" w:cs="Times New Roman"/>
          <w:sz w:val="28"/>
          <w:szCs w:val="28"/>
        </w:rPr>
        <w:t xml:space="preserve">в срок до 20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64FAC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>отдел по экономике и работе с малым бизнесом</w:t>
      </w:r>
      <w:r w:rsidRPr="00064FAC"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>и пояс</w:t>
      </w:r>
      <w:r w:rsidRPr="00064FAC">
        <w:rPr>
          <w:rFonts w:ascii="Times New Roman" w:hAnsi="Times New Roman" w:cs="Times New Roman"/>
          <w:sz w:val="28"/>
          <w:szCs w:val="28"/>
        </w:rPr>
        <w:t xml:space="preserve">нительную записку о ходе реализации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064FAC">
        <w:rPr>
          <w:rFonts w:ascii="Times New Roman" w:hAnsi="Times New Roman" w:cs="Times New Roman"/>
          <w:sz w:val="28"/>
          <w:szCs w:val="28"/>
        </w:rPr>
        <w:t xml:space="preserve"> программы за первое полугод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4FA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776925">
        <w:rPr>
          <w:rFonts w:ascii="Times New Roman" w:hAnsi="Times New Roman" w:cs="Times New Roman"/>
          <w:sz w:val="28"/>
          <w:szCs w:val="28"/>
        </w:rPr>
        <w:t>.</w:t>
      </w:r>
    </w:p>
    <w:p w:rsidR="00AA1EB6" w:rsidRDefault="00AA1EB6" w:rsidP="00F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7.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A1EB6" w:rsidRDefault="00AA1EB6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Pr="00501496" w:rsidRDefault="00AA1EB6" w:rsidP="002E7B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1496">
        <w:rPr>
          <w:rFonts w:ascii="Times New Roman" w:hAnsi="Times New Roman" w:cs="Times New Roman"/>
          <w:sz w:val="28"/>
          <w:szCs w:val="28"/>
        </w:rPr>
        <w:t xml:space="preserve">, составляет на 2014-2020 годы </w:t>
      </w:r>
      <w:r w:rsidRPr="00DA6AB2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DA6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940</w:t>
      </w:r>
      <w:r w:rsidRPr="005014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A1EB6" w:rsidRPr="00501496" w:rsidRDefault="00AA1EB6" w:rsidP="002E7B5D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реализации: </w:t>
      </w:r>
    </w:p>
    <w:p w:rsidR="00AA1EB6" w:rsidRPr="00501496" w:rsidRDefault="00AA1EB6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2014 год – 16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01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501496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AA1EB6" w:rsidRPr="00501496" w:rsidRDefault="00AA1EB6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2015 год – 1838,</w:t>
      </w:r>
      <w:r>
        <w:rPr>
          <w:rFonts w:ascii="Times New Roman" w:hAnsi="Times New Roman" w:cs="Times New Roman"/>
          <w:sz w:val="28"/>
          <w:szCs w:val="28"/>
        </w:rPr>
        <w:t>565</w:t>
      </w:r>
      <w:r w:rsidRPr="00501496">
        <w:rPr>
          <w:rFonts w:ascii="Times New Roman" w:hAnsi="Times New Roman" w:cs="Times New Roman"/>
        </w:rPr>
        <w:t xml:space="preserve"> </w:t>
      </w:r>
      <w:r w:rsidRPr="00501496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AA1EB6" w:rsidRPr="00501496" w:rsidRDefault="00AA1EB6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2016 год – 1767,470 тыс. руб.;</w:t>
      </w:r>
    </w:p>
    <w:p w:rsidR="00AA1EB6" w:rsidRPr="00DA6AB2" w:rsidRDefault="00AA1EB6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A6AB2">
        <w:rPr>
          <w:rFonts w:ascii="Times New Roman" w:hAnsi="Times New Roman" w:cs="Times New Roman"/>
          <w:sz w:val="28"/>
          <w:szCs w:val="28"/>
        </w:rPr>
        <w:t xml:space="preserve">2017 год – 2150,261 тыс. руб.; </w:t>
      </w:r>
    </w:p>
    <w:p w:rsidR="00AA1EB6" w:rsidRPr="00DA6AB2" w:rsidRDefault="00AA1EB6" w:rsidP="002E7B5D">
      <w:pPr>
        <w:ind w:firstLine="709"/>
        <w:jc w:val="both"/>
        <w:rPr>
          <w:sz w:val="28"/>
          <w:szCs w:val="28"/>
        </w:rPr>
      </w:pPr>
      <w:r w:rsidRPr="00DA6AB2">
        <w:rPr>
          <w:sz w:val="28"/>
          <w:szCs w:val="28"/>
        </w:rPr>
        <w:t>2018 год – 1994,000 тыс. руб.;</w:t>
      </w:r>
    </w:p>
    <w:p w:rsidR="00AA1EB6" w:rsidRPr="00DA6AB2" w:rsidRDefault="00AA1EB6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A6AB2">
        <w:rPr>
          <w:rFonts w:ascii="Times New Roman" w:hAnsi="Times New Roman" w:cs="Times New Roman"/>
          <w:sz w:val="28"/>
          <w:szCs w:val="28"/>
        </w:rPr>
        <w:t>2019 год – 2140,000</w:t>
      </w:r>
      <w:r w:rsidRPr="00DA6AB2">
        <w:rPr>
          <w:sz w:val="28"/>
          <w:szCs w:val="28"/>
        </w:rPr>
        <w:t xml:space="preserve"> </w:t>
      </w:r>
      <w:r w:rsidRPr="00DA6AB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AA1EB6" w:rsidRPr="00DA6AB2" w:rsidRDefault="00AA1EB6" w:rsidP="002E7B5D">
      <w:pPr>
        <w:ind w:firstLine="709"/>
        <w:jc w:val="both"/>
        <w:rPr>
          <w:sz w:val="28"/>
          <w:szCs w:val="28"/>
        </w:rPr>
      </w:pPr>
      <w:r w:rsidRPr="00DA6AB2">
        <w:rPr>
          <w:sz w:val="28"/>
          <w:szCs w:val="28"/>
        </w:rPr>
        <w:t>2020 год – 2140,000 тыс. руб.</w:t>
      </w:r>
    </w:p>
    <w:p w:rsidR="00AA1EB6" w:rsidRDefault="00AA1EB6" w:rsidP="002E7B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2.</w:t>
      </w:r>
    </w:p>
    <w:p w:rsidR="00AA1EB6" w:rsidRDefault="00AA1EB6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5507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B6" w:rsidRDefault="00AA1EB6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 xml:space="preserve">Основной мерой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F613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137">
        <w:rPr>
          <w:rFonts w:ascii="Times New Roman" w:hAnsi="Times New Roman" w:cs="Times New Roman"/>
          <w:sz w:val="28"/>
          <w:szCs w:val="28"/>
        </w:rPr>
        <w:t>тся внесение в нее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EB6" w:rsidRPr="009F6137" w:rsidRDefault="00AA1EB6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9F6137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AA1EB6" w:rsidRPr="009F6137" w:rsidRDefault="00AA1EB6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</w:t>
      </w:r>
      <w:r w:rsidRPr="009F6137">
        <w:rPr>
          <w:rFonts w:ascii="Times New Roman" w:hAnsi="Times New Roman" w:cs="Times New Roman"/>
          <w:sz w:val="28"/>
          <w:szCs w:val="28"/>
        </w:rPr>
        <w:t>и</w:t>
      </w:r>
      <w:r w:rsidRPr="009F6137">
        <w:rPr>
          <w:rFonts w:ascii="Times New Roman" w:hAnsi="Times New Roman" w:cs="Times New Roman"/>
          <w:sz w:val="28"/>
          <w:szCs w:val="28"/>
        </w:rPr>
        <w:t>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F613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AA1EB6" w:rsidRDefault="00AA1EB6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</w:t>
      </w:r>
      <w:r w:rsidRPr="009F6137">
        <w:rPr>
          <w:rFonts w:ascii="Times New Roman" w:hAnsi="Times New Roman" w:cs="Times New Roman"/>
          <w:sz w:val="28"/>
          <w:szCs w:val="28"/>
        </w:rPr>
        <w:t>о</w:t>
      </w:r>
      <w:r w:rsidRPr="009F6137">
        <w:rPr>
          <w:rFonts w:ascii="Times New Roman" w:hAnsi="Times New Roman" w:cs="Times New Roman"/>
          <w:sz w:val="28"/>
          <w:szCs w:val="28"/>
        </w:rPr>
        <w:t>вещения на территории Верхнебуреинского муниципального района и иные нормативные правовые документы, источником финансирования меропри</w:t>
      </w:r>
      <w:r w:rsidRPr="009F6137">
        <w:rPr>
          <w:rFonts w:ascii="Times New Roman" w:hAnsi="Times New Roman" w:cs="Times New Roman"/>
          <w:sz w:val="28"/>
          <w:szCs w:val="28"/>
        </w:rPr>
        <w:t>я</w:t>
      </w:r>
      <w:r w:rsidRPr="009F6137">
        <w:rPr>
          <w:rFonts w:ascii="Times New Roman" w:hAnsi="Times New Roman" w:cs="Times New Roman"/>
          <w:sz w:val="28"/>
          <w:szCs w:val="28"/>
        </w:rPr>
        <w:t>тий которых является районный бюджет».</w:t>
      </w:r>
    </w:p>
    <w:p w:rsidR="00AA1EB6" w:rsidRPr="009F6137" w:rsidRDefault="00AA1EB6" w:rsidP="009E327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3.</w:t>
      </w:r>
    </w:p>
    <w:p w:rsidR="00AA1EB6" w:rsidRDefault="00AA1EB6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5507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AA1EB6" w:rsidRPr="006C5507" w:rsidRDefault="00AA1EB6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B6" w:rsidRDefault="00AA1EB6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риска, влияющими на исполнение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являются:</w:t>
      </w:r>
    </w:p>
    <w:p w:rsidR="00AA1EB6" w:rsidRDefault="00AA1EB6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законодательстве, предусматривающие проведение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мероприятий в области защиты населения и как следствие рост расходов непредусмотренных в программе. Снижение риска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за счет мониторинга действующего законодательства и проектов.</w:t>
      </w:r>
    </w:p>
    <w:p w:rsidR="00AA1EB6" w:rsidRPr="00085AA2" w:rsidRDefault="00AA1EB6" w:rsidP="000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Возникновение муниципальных, межмуниципальных чрезвычайных ситуаций или их угрозы.</w:t>
      </w:r>
      <w:r w:rsidRPr="00E1191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риска осуществляется за счет проведения комплекса превентивных мероприятий направленных на минимизацию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возникновения чрезвычайных ситуаций или их угрозы.</w:t>
      </w: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AA1EB6" w:rsidSect="00085AA2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A1EB6" w:rsidRDefault="00AA1EB6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A1EB6" w:rsidRDefault="00AA1EB6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AA1EB6" w:rsidRDefault="00AA1EB6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A1EB6" w:rsidRDefault="00AA1EB6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A1EB6" w:rsidRPr="006943CD" w:rsidRDefault="00AA1EB6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AA1EB6" w:rsidRDefault="00AA1EB6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1EB6" w:rsidRDefault="00AA1EB6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693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AA1EB6" w:rsidRPr="00F1672C" w:rsidTr="004B79CF">
        <w:trPr>
          <w:trHeight w:val="420"/>
        </w:trPr>
        <w:tc>
          <w:tcPr>
            <w:tcW w:w="392" w:type="dxa"/>
            <w:vMerge w:val="restart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AA1EB6" w:rsidRPr="00F1672C" w:rsidRDefault="00AA1EB6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vMerge w:val="restart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796" w:type="dxa"/>
            <w:gridSpan w:val="8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AA1EB6" w:rsidRPr="00F1672C" w:rsidTr="004B79CF">
        <w:trPr>
          <w:trHeight w:val="408"/>
        </w:trPr>
        <w:tc>
          <w:tcPr>
            <w:tcW w:w="392" w:type="dxa"/>
            <w:vMerge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A1EB6" w:rsidRPr="00F1672C" w:rsidRDefault="00AA1EB6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5" w:type="dxa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4" w:type="dxa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5" w:type="dxa"/>
          </w:tcPr>
          <w:p w:rsidR="00AA1EB6" w:rsidRPr="00F1672C" w:rsidRDefault="00AA1EB6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4" w:type="dxa"/>
          </w:tcPr>
          <w:p w:rsidR="00AA1EB6" w:rsidRPr="00F1672C" w:rsidRDefault="00AA1EB6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5" w:type="dxa"/>
          </w:tcPr>
          <w:p w:rsidR="00AA1EB6" w:rsidRPr="00F1672C" w:rsidRDefault="00AA1EB6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4" w:type="dxa"/>
          </w:tcPr>
          <w:p w:rsidR="00AA1EB6" w:rsidRPr="00F1672C" w:rsidRDefault="00AA1EB6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5" w:type="dxa"/>
          </w:tcPr>
          <w:p w:rsidR="00AA1EB6" w:rsidRPr="00F1672C" w:rsidRDefault="00AA1EB6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A1EB6" w:rsidRPr="00F1672C" w:rsidTr="004B79CF">
        <w:tc>
          <w:tcPr>
            <w:tcW w:w="392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AA1EB6" w:rsidRPr="002A4FAF" w:rsidRDefault="00AA1EB6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FAF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1EB6" w:rsidRPr="00F1672C" w:rsidTr="004B79CF">
        <w:tc>
          <w:tcPr>
            <w:tcW w:w="392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AA1EB6" w:rsidRPr="008653A9" w:rsidRDefault="00AA1EB6" w:rsidP="004F0EB0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A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 – ед. человек;</w:t>
            </w:r>
          </w:p>
        </w:tc>
        <w:tc>
          <w:tcPr>
            <w:tcW w:w="1276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1EB6" w:rsidRPr="00F1672C" w:rsidTr="004B79CF">
        <w:tc>
          <w:tcPr>
            <w:tcW w:w="392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AA1EB6" w:rsidRDefault="00AA1EB6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AA1EB6" w:rsidRPr="0016733C" w:rsidRDefault="00AA1EB6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</w:t>
            </w: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ситуаций - тысяч рублей</w:t>
            </w:r>
          </w:p>
        </w:tc>
        <w:tc>
          <w:tcPr>
            <w:tcW w:w="1276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975" w:type="dxa"/>
          </w:tcPr>
          <w:p w:rsidR="00AA1EB6" w:rsidRPr="00E76703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77A28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974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975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AA1EB6" w:rsidRPr="00131AF8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AA1EB6" w:rsidRPr="00F1672C" w:rsidTr="004B79CF">
        <w:tc>
          <w:tcPr>
            <w:tcW w:w="392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AA1EB6" w:rsidRPr="00EE5210" w:rsidRDefault="00AA1EB6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4" w:type="dxa"/>
          </w:tcPr>
          <w:p w:rsidR="00AA1EB6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5" w:type="dxa"/>
          </w:tcPr>
          <w:p w:rsidR="00AA1EB6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1EB6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5" w:type="dxa"/>
          </w:tcPr>
          <w:p w:rsidR="00AA1EB6" w:rsidRPr="00EE5210" w:rsidRDefault="00AA1EB6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4" w:type="dxa"/>
          </w:tcPr>
          <w:p w:rsidR="00AA1EB6" w:rsidRPr="00EE5210" w:rsidRDefault="00AA1EB6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75" w:type="dxa"/>
          </w:tcPr>
          <w:p w:rsidR="00AA1EB6" w:rsidRPr="00EE5210" w:rsidRDefault="00AA1EB6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A1EB6" w:rsidRPr="00F1672C" w:rsidTr="004B79CF">
        <w:tc>
          <w:tcPr>
            <w:tcW w:w="392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AA1EB6" w:rsidRPr="005A1E1F" w:rsidRDefault="00AA1EB6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E1F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693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AA1EB6" w:rsidRPr="00EE5210" w:rsidRDefault="00AA1EB6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A1EB6" w:rsidRDefault="00AA1EB6" w:rsidP="001953BC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AA1EB6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</w:p>
    <w:p w:rsidR="00AA1EB6" w:rsidRDefault="00AA1EB6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A1EB6" w:rsidRDefault="00AA1EB6" w:rsidP="008749D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AA1EB6" w:rsidRDefault="00AA1EB6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AA1EB6" w:rsidRDefault="00AA1EB6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EB6" w:rsidRPr="001C3D2A" w:rsidRDefault="00AA1EB6" w:rsidP="001C3D2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Ресурсное обеспечение реализации муниципальной Программы</w:t>
      </w:r>
    </w:p>
    <w:p w:rsidR="00AA1EB6" w:rsidRPr="001C3D2A" w:rsidRDefault="00AA1EB6" w:rsidP="001C3D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за счет средств районного бюджета</w:t>
      </w:r>
    </w:p>
    <w:p w:rsidR="00AA1EB6" w:rsidRDefault="00AA1EB6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04" w:type="dxa"/>
        <w:tblCellSpacing w:w="5" w:type="nil"/>
        <w:tblInd w:w="-14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080"/>
        <w:gridCol w:w="3119"/>
        <w:gridCol w:w="1559"/>
        <w:gridCol w:w="1134"/>
        <w:gridCol w:w="1134"/>
        <w:gridCol w:w="992"/>
        <w:gridCol w:w="1134"/>
        <w:gridCol w:w="1134"/>
        <w:gridCol w:w="992"/>
      </w:tblGrid>
      <w:tr w:rsidR="00AA1EB6" w:rsidRPr="00AB65A8" w:rsidTr="00F94FB8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385F69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 xml:space="preserve">№ </w:t>
            </w:r>
            <w:r w:rsidRPr="00385F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385F69" w:rsidRDefault="00AA1EB6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B6" w:rsidRPr="00385F69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385F69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Расходы по годам</w:t>
            </w:r>
            <w:r>
              <w:rPr>
                <w:rFonts w:ascii="Times New Roman" w:hAnsi="Times New Roman" w:cs="Times New Roman"/>
              </w:rPr>
              <w:t xml:space="preserve"> (тыс.руб)</w:t>
            </w:r>
          </w:p>
        </w:tc>
      </w:tr>
      <w:tr w:rsidR="00AA1EB6" w:rsidRPr="00AB65A8" w:rsidTr="00F94FB8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385F69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385F69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06333" w:rsidRDefault="00AA1EB6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A1EB6" w:rsidRPr="00AB65A8" w:rsidTr="00F94FB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65F97" w:rsidRDefault="00AA1EB6" w:rsidP="00416CFE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65F97" w:rsidRDefault="00AA1EB6" w:rsidP="00416C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501496" w:rsidRDefault="00AA1EB6" w:rsidP="00F94F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9739C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973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1994,000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973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2140,000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973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2140,000</w:t>
            </w:r>
          </w:p>
        </w:tc>
      </w:tr>
      <w:tr w:rsidR="00AA1EB6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</w:t>
            </w:r>
            <w:r w:rsidRPr="00F94FB8">
              <w:rPr>
                <w:rFonts w:ascii="Times New Roman" w:hAnsi="Times New Roman" w:cs="Times New Roman"/>
              </w:rPr>
              <w:t>о</w:t>
            </w:r>
            <w:r w:rsidRPr="00F94FB8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</w:t>
            </w:r>
            <w:r w:rsidRPr="00B82FA1">
              <w:rPr>
                <w:rFonts w:ascii="Times New Roman" w:hAnsi="Times New Roman" w:cs="Times New Roman"/>
              </w:rPr>
              <w:t>о</w:t>
            </w:r>
            <w:r w:rsidRPr="00B82FA1">
              <w:rPr>
                <w:rFonts w:ascii="Times New Roman" w:hAnsi="Times New Roman" w:cs="Times New Roman"/>
              </w:rPr>
              <w:t>приятий по предотвращению чрезвычайных ситуаций и минимизации их последствий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B6" w:rsidRPr="00EA15C7" w:rsidRDefault="00AA1EB6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E11917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</w:t>
            </w:r>
            <w:r w:rsidRPr="00F94FB8">
              <w:rPr>
                <w:rFonts w:ascii="Times New Roman" w:hAnsi="Times New Roman" w:cs="Times New Roman"/>
              </w:rPr>
              <w:t>о</w:t>
            </w:r>
            <w:r w:rsidRPr="00F94FB8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B6" w:rsidRPr="00EA15C7" w:rsidRDefault="00AA1EB6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E11917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EA15C7" w:rsidRDefault="00AA1EB6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E11917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1A4CAC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8D3A09" w:rsidRDefault="00AA1EB6" w:rsidP="001A4CA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A0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E11917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</w:t>
            </w:r>
            <w:r w:rsidRPr="00E11917">
              <w:rPr>
                <w:rFonts w:ascii="Times New Roman" w:hAnsi="Times New Roman" w:cs="Times New Roman"/>
              </w:rPr>
              <w:t>о</w:t>
            </w:r>
            <w:r w:rsidRPr="00E11917">
              <w:rPr>
                <w:rFonts w:ascii="Times New Roman" w:hAnsi="Times New Roman" w:cs="Times New Roman"/>
              </w:rPr>
              <w:t>вершенствование оповещения и информир</w:t>
            </w:r>
            <w:r w:rsidRPr="00E11917">
              <w:rPr>
                <w:rFonts w:ascii="Times New Roman" w:hAnsi="Times New Roman" w:cs="Times New Roman"/>
              </w:rPr>
              <w:t>о</w:t>
            </w:r>
            <w:r w:rsidRPr="00E11917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416CFE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501496" w:rsidRDefault="00AA1EB6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DA6AB2" w:rsidRDefault="00AA1EB6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DA6AB2" w:rsidRDefault="00AA1EB6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DA6AB2" w:rsidRDefault="00AA1EB6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DA6AB2" w:rsidRDefault="00AA1EB6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80,000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B6" w:rsidRPr="0051710B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</w:t>
            </w:r>
            <w:r w:rsidRPr="00F94FB8">
              <w:rPr>
                <w:rFonts w:ascii="Times New Roman" w:hAnsi="Times New Roman" w:cs="Times New Roman"/>
              </w:rPr>
              <w:t>о</w:t>
            </w:r>
            <w:r w:rsidRPr="00F94FB8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B6" w:rsidRPr="0051710B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51710B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AB65A8" w:rsidTr="005836FF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EB6" w:rsidRPr="0051710B" w:rsidRDefault="00AA1EB6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</w:t>
            </w:r>
            <w:r w:rsidRPr="00B82FA1">
              <w:rPr>
                <w:rFonts w:ascii="Times New Roman" w:hAnsi="Times New Roman" w:cs="Times New Roman"/>
              </w:rPr>
              <w:t>о</w:t>
            </w:r>
            <w:r w:rsidRPr="00B82FA1">
              <w:rPr>
                <w:rFonts w:ascii="Times New Roman" w:hAnsi="Times New Roman" w:cs="Times New Roman"/>
              </w:rPr>
              <w:t>пасности п. Шахтинский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127A9F" w:rsidRDefault="00AA1EB6" w:rsidP="002E7B5D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7E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501496" w:rsidRDefault="00AA1EB6" w:rsidP="007E3838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DA6AB2" w:rsidRDefault="00AA1EB6" w:rsidP="009739CA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</w:tr>
      <w:tr w:rsidR="00AA1EB6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</w:t>
            </w:r>
            <w:r w:rsidRPr="00F94FB8">
              <w:rPr>
                <w:rFonts w:ascii="Times New Roman" w:hAnsi="Times New Roman" w:cs="Times New Roman"/>
              </w:rPr>
              <w:t>о</w:t>
            </w:r>
            <w:r w:rsidRPr="00F94FB8">
              <w:rPr>
                <w:rFonts w:ascii="Times New Roman" w:hAnsi="Times New Roman" w:cs="Times New Roman"/>
              </w:rPr>
              <w:t>го бюджета</w:t>
            </w:r>
          </w:p>
          <w:p w:rsidR="00AA1EB6" w:rsidRPr="00F94FB8" w:rsidRDefault="00AA1EB6" w:rsidP="001C3D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CC2545" w:rsidTr="005836F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51710B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B82FA1" w:rsidRDefault="00AA1EB6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E11917" w:rsidRDefault="00AA1EB6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6E056F" w:rsidRDefault="00AA1EB6" w:rsidP="00416C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501496" w:rsidRDefault="00AA1EB6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7416D5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5C1493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1894,000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7416D5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DA6AB2" w:rsidRDefault="00AA1EB6" w:rsidP="007416D5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2040,000</w:t>
            </w:r>
          </w:p>
        </w:tc>
      </w:tr>
      <w:tr w:rsidR="00AA1EB6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</w:t>
            </w:r>
            <w:r w:rsidRPr="00F94FB8">
              <w:rPr>
                <w:rFonts w:ascii="Times New Roman" w:hAnsi="Times New Roman" w:cs="Times New Roman"/>
              </w:rPr>
              <w:t>о</w:t>
            </w:r>
            <w:r w:rsidRPr="00F94FB8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AA1EB6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Default="00AA1EB6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B82FA1" w:rsidRDefault="00AA1EB6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6" w:rsidRPr="00F94FB8" w:rsidRDefault="00AA1EB6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127A9F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B6" w:rsidRPr="009F7F6B" w:rsidRDefault="00AA1EB6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AA1EB6" w:rsidRDefault="00AA1EB6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AA1EB6" w:rsidRDefault="00AA1EB6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AA1EB6" w:rsidRDefault="00AA1EB6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A1EB6" w:rsidRDefault="00AA1EB6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A1EB6" w:rsidRDefault="00AA1EB6" w:rsidP="001C3D2A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>Приложение № 3</w:t>
      </w:r>
    </w:p>
    <w:p w:rsidR="00AA1EB6" w:rsidRPr="00760088" w:rsidRDefault="00AA1EB6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A1EB6" w:rsidRPr="00452589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AA1EB6" w:rsidRPr="00452589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AA1EB6" w:rsidRPr="00452589" w:rsidRDefault="00AA1EB6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AA1EB6" w:rsidRDefault="00AA1EB6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AA1EB6" w:rsidTr="002A31A1">
        <w:tc>
          <w:tcPr>
            <w:tcW w:w="660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AA1EB6" w:rsidRPr="002A31A1" w:rsidRDefault="00AA1EB6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AA1EB6" w:rsidRPr="002A31A1" w:rsidRDefault="00AA1EB6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AA1EB6" w:rsidRDefault="00AA1EB6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A1EB6" w:rsidRPr="002D7821" w:rsidRDefault="00AA1EB6" w:rsidP="00950C9E">
      <w:pPr>
        <w:shd w:val="clear" w:color="auto" w:fill="FFFFFF"/>
        <w:spacing w:line="322" w:lineRule="exact"/>
        <w:ind w:right="48"/>
        <w:jc w:val="right"/>
        <w:rPr>
          <w:b/>
          <w:sz w:val="28"/>
          <w:szCs w:val="28"/>
        </w:rPr>
      </w:pPr>
      <w:r w:rsidRPr="00F94FB8">
        <w:rPr>
          <w:sz w:val="28"/>
          <w:szCs w:val="28"/>
        </w:rPr>
        <w:t>"</w:t>
      </w:r>
    </w:p>
    <w:sectPr w:rsidR="00AA1EB6" w:rsidRPr="002D7821" w:rsidSect="009E4026">
      <w:pgSz w:w="16838" w:h="11906" w:orient="landscape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B6" w:rsidRDefault="00AA1EB6">
      <w:r>
        <w:separator/>
      </w:r>
    </w:p>
  </w:endnote>
  <w:endnote w:type="continuationSeparator" w:id="0">
    <w:p w:rsidR="00AA1EB6" w:rsidRDefault="00AA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B6" w:rsidRDefault="00AA1EB6">
      <w:r>
        <w:separator/>
      </w:r>
    </w:p>
  </w:footnote>
  <w:footnote w:type="continuationSeparator" w:id="0">
    <w:p w:rsidR="00AA1EB6" w:rsidRDefault="00AA1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B6" w:rsidRDefault="00AA1EB6" w:rsidP="008A4BDA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end"/>
    </w:r>
  </w:p>
  <w:p w:rsidR="00AA1EB6" w:rsidRDefault="00AA1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B6" w:rsidRPr="008D39CC" w:rsidRDefault="00AA1EB6" w:rsidP="008A4BD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AA1EB6" w:rsidRPr="00855D96" w:rsidRDefault="00AA1EB6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4E3C"/>
    <w:rsid w:val="00006BA6"/>
    <w:rsid w:val="00006CE0"/>
    <w:rsid w:val="00011C58"/>
    <w:rsid w:val="00023B96"/>
    <w:rsid w:val="0002764E"/>
    <w:rsid w:val="00035204"/>
    <w:rsid w:val="0003525C"/>
    <w:rsid w:val="00041EED"/>
    <w:rsid w:val="00047BA8"/>
    <w:rsid w:val="000532AF"/>
    <w:rsid w:val="00055414"/>
    <w:rsid w:val="00056DBE"/>
    <w:rsid w:val="00061844"/>
    <w:rsid w:val="00061987"/>
    <w:rsid w:val="00062244"/>
    <w:rsid w:val="00064FAC"/>
    <w:rsid w:val="0007058C"/>
    <w:rsid w:val="00072A8D"/>
    <w:rsid w:val="00075D02"/>
    <w:rsid w:val="00084EDF"/>
    <w:rsid w:val="00085AA2"/>
    <w:rsid w:val="00092EF3"/>
    <w:rsid w:val="0009334A"/>
    <w:rsid w:val="0009793F"/>
    <w:rsid w:val="000B0BA5"/>
    <w:rsid w:val="000B1E9A"/>
    <w:rsid w:val="000B335F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80FBF"/>
    <w:rsid w:val="00190B86"/>
    <w:rsid w:val="00192E89"/>
    <w:rsid w:val="001953BC"/>
    <w:rsid w:val="00196D2B"/>
    <w:rsid w:val="0019725D"/>
    <w:rsid w:val="001A2450"/>
    <w:rsid w:val="001A4CAC"/>
    <w:rsid w:val="001B3B95"/>
    <w:rsid w:val="001B3D5D"/>
    <w:rsid w:val="001B48A7"/>
    <w:rsid w:val="001C0FE1"/>
    <w:rsid w:val="001C26E2"/>
    <w:rsid w:val="001C3D2A"/>
    <w:rsid w:val="001C679D"/>
    <w:rsid w:val="001C6AD9"/>
    <w:rsid w:val="001E13FD"/>
    <w:rsid w:val="001E4B6B"/>
    <w:rsid w:val="001E71EF"/>
    <w:rsid w:val="001F1489"/>
    <w:rsid w:val="001F1A43"/>
    <w:rsid w:val="001F1A66"/>
    <w:rsid w:val="001F7583"/>
    <w:rsid w:val="002014C9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70D20"/>
    <w:rsid w:val="0027495F"/>
    <w:rsid w:val="00281203"/>
    <w:rsid w:val="00284334"/>
    <w:rsid w:val="002858BB"/>
    <w:rsid w:val="00286F5A"/>
    <w:rsid w:val="002903A1"/>
    <w:rsid w:val="002919FE"/>
    <w:rsid w:val="0029358E"/>
    <w:rsid w:val="0029690F"/>
    <w:rsid w:val="002A31A1"/>
    <w:rsid w:val="002A4FAF"/>
    <w:rsid w:val="002C1869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503E5"/>
    <w:rsid w:val="00350E48"/>
    <w:rsid w:val="00352D1C"/>
    <w:rsid w:val="00355CEA"/>
    <w:rsid w:val="003603B3"/>
    <w:rsid w:val="00360660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5F69"/>
    <w:rsid w:val="003907FB"/>
    <w:rsid w:val="00390D50"/>
    <w:rsid w:val="003A6A3C"/>
    <w:rsid w:val="003C102F"/>
    <w:rsid w:val="003C4222"/>
    <w:rsid w:val="003C5DEA"/>
    <w:rsid w:val="003E4710"/>
    <w:rsid w:val="003E704C"/>
    <w:rsid w:val="003F01E3"/>
    <w:rsid w:val="003F36F9"/>
    <w:rsid w:val="003F45E3"/>
    <w:rsid w:val="003F58CD"/>
    <w:rsid w:val="003F5C20"/>
    <w:rsid w:val="00404E45"/>
    <w:rsid w:val="004076ED"/>
    <w:rsid w:val="00407906"/>
    <w:rsid w:val="00407C0A"/>
    <w:rsid w:val="0041102E"/>
    <w:rsid w:val="0041130E"/>
    <w:rsid w:val="0041198D"/>
    <w:rsid w:val="00416A1D"/>
    <w:rsid w:val="00416CFE"/>
    <w:rsid w:val="00426BD2"/>
    <w:rsid w:val="00430098"/>
    <w:rsid w:val="004311D0"/>
    <w:rsid w:val="004326F8"/>
    <w:rsid w:val="004355C3"/>
    <w:rsid w:val="0044067E"/>
    <w:rsid w:val="00443F2A"/>
    <w:rsid w:val="00447871"/>
    <w:rsid w:val="00447A7A"/>
    <w:rsid w:val="00452473"/>
    <w:rsid w:val="00452589"/>
    <w:rsid w:val="0045593A"/>
    <w:rsid w:val="00457CBD"/>
    <w:rsid w:val="00460EA8"/>
    <w:rsid w:val="00464950"/>
    <w:rsid w:val="00466101"/>
    <w:rsid w:val="00467ABC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3FE0"/>
    <w:rsid w:val="004F005D"/>
    <w:rsid w:val="004F0EB0"/>
    <w:rsid w:val="004F48D5"/>
    <w:rsid w:val="004F76D8"/>
    <w:rsid w:val="004F7FAE"/>
    <w:rsid w:val="005006D7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DE"/>
    <w:rsid w:val="005836FF"/>
    <w:rsid w:val="00595E38"/>
    <w:rsid w:val="005A1E1F"/>
    <w:rsid w:val="005A5C98"/>
    <w:rsid w:val="005B0B1B"/>
    <w:rsid w:val="005B1A46"/>
    <w:rsid w:val="005B38A8"/>
    <w:rsid w:val="005B688E"/>
    <w:rsid w:val="005B71BC"/>
    <w:rsid w:val="005C099C"/>
    <w:rsid w:val="005C1493"/>
    <w:rsid w:val="005C764D"/>
    <w:rsid w:val="005D3DBC"/>
    <w:rsid w:val="005D41DB"/>
    <w:rsid w:val="005D538B"/>
    <w:rsid w:val="005D7F29"/>
    <w:rsid w:val="005E1781"/>
    <w:rsid w:val="005E6554"/>
    <w:rsid w:val="005F50D7"/>
    <w:rsid w:val="006112D6"/>
    <w:rsid w:val="00613D65"/>
    <w:rsid w:val="0062171B"/>
    <w:rsid w:val="006308AC"/>
    <w:rsid w:val="00632631"/>
    <w:rsid w:val="00634119"/>
    <w:rsid w:val="00637366"/>
    <w:rsid w:val="00637B6E"/>
    <w:rsid w:val="00641B0B"/>
    <w:rsid w:val="00646839"/>
    <w:rsid w:val="00654468"/>
    <w:rsid w:val="0065512C"/>
    <w:rsid w:val="006570B9"/>
    <w:rsid w:val="006636B3"/>
    <w:rsid w:val="00673C73"/>
    <w:rsid w:val="0067583D"/>
    <w:rsid w:val="00676978"/>
    <w:rsid w:val="00681F2C"/>
    <w:rsid w:val="006848FF"/>
    <w:rsid w:val="006939C2"/>
    <w:rsid w:val="006943CD"/>
    <w:rsid w:val="0069748C"/>
    <w:rsid w:val="00697AA2"/>
    <w:rsid w:val="006A1CA2"/>
    <w:rsid w:val="006A37FE"/>
    <w:rsid w:val="006A4624"/>
    <w:rsid w:val="006A5425"/>
    <w:rsid w:val="006A5A9E"/>
    <w:rsid w:val="006A6325"/>
    <w:rsid w:val="006B091F"/>
    <w:rsid w:val="006B5D5E"/>
    <w:rsid w:val="006B6A52"/>
    <w:rsid w:val="006C5507"/>
    <w:rsid w:val="006D47BD"/>
    <w:rsid w:val="006E056F"/>
    <w:rsid w:val="006E6A8C"/>
    <w:rsid w:val="0070257D"/>
    <w:rsid w:val="0070276B"/>
    <w:rsid w:val="00713C02"/>
    <w:rsid w:val="0072108E"/>
    <w:rsid w:val="00721844"/>
    <w:rsid w:val="007242C0"/>
    <w:rsid w:val="007306F6"/>
    <w:rsid w:val="00730D10"/>
    <w:rsid w:val="007314D5"/>
    <w:rsid w:val="00731EE6"/>
    <w:rsid w:val="00734F97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20BB"/>
    <w:rsid w:val="0076637B"/>
    <w:rsid w:val="00772DAB"/>
    <w:rsid w:val="00776925"/>
    <w:rsid w:val="007770F8"/>
    <w:rsid w:val="00777A1C"/>
    <w:rsid w:val="0078060B"/>
    <w:rsid w:val="0078101E"/>
    <w:rsid w:val="0079209D"/>
    <w:rsid w:val="00792E0C"/>
    <w:rsid w:val="00795CF7"/>
    <w:rsid w:val="00796443"/>
    <w:rsid w:val="007A0EFA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4ED"/>
    <w:rsid w:val="00806ECE"/>
    <w:rsid w:val="00807FA2"/>
    <w:rsid w:val="0081164A"/>
    <w:rsid w:val="00811985"/>
    <w:rsid w:val="008140B3"/>
    <w:rsid w:val="00815324"/>
    <w:rsid w:val="008217F5"/>
    <w:rsid w:val="00822342"/>
    <w:rsid w:val="0082482C"/>
    <w:rsid w:val="008259E7"/>
    <w:rsid w:val="0083076D"/>
    <w:rsid w:val="00833729"/>
    <w:rsid w:val="008416F2"/>
    <w:rsid w:val="0084226D"/>
    <w:rsid w:val="00843487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755E"/>
    <w:rsid w:val="008D1225"/>
    <w:rsid w:val="008D185B"/>
    <w:rsid w:val="008D1DA0"/>
    <w:rsid w:val="008D39CC"/>
    <w:rsid w:val="008D3A09"/>
    <w:rsid w:val="008D3C77"/>
    <w:rsid w:val="009002F1"/>
    <w:rsid w:val="00900E99"/>
    <w:rsid w:val="00903116"/>
    <w:rsid w:val="009048CD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50C9E"/>
    <w:rsid w:val="00955B76"/>
    <w:rsid w:val="0096222E"/>
    <w:rsid w:val="00967352"/>
    <w:rsid w:val="00970F41"/>
    <w:rsid w:val="009739CA"/>
    <w:rsid w:val="009760A3"/>
    <w:rsid w:val="009853BD"/>
    <w:rsid w:val="00985FB2"/>
    <w:rsid w:val="00997ED7"/>
    <w:rsid w:val="009A1767"/>
    <w:rsid w:val="009C6AB4"/>
    <w:rsid w:val="009D252E"/>
    <w:rsid w:val="009E16A4"/>
    <w:rsid w:val="009E1E2A"/>
    <w:rsid w:val="009E327D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2E07"/>
    <w:rsid w:val="00A647E6"/>
    <w:rsid w:val="00A6599A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95831"/>
    <w:rsid w:val="00AA1EB6"/>
    <w:rsid w:val="00AA1EF3"/>
    <w:rsid w:val="00AA3805"/>
    <w:rsid w:val="00AA50BD"/>
    <w:rsid w:val="00AB1211"/>
    <w:rsid w:val="00AB165F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7790"/>
    <w:rsid w:val="00BA12E9"/>
    <w:rsid w:val="00BA46FB"/>
    <w:rsid w:val="00BA4B76"/>
    <w:rsid w:val="00BA69A4"/>
    <w:rsid w:val="00BA7095"/>
    <w:rsid w:val="00BA7E70"/>
    <w:rsid w:val="00BB0AB5"/>
    <w:rsid w:val="00BB112F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C00348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3647"/>
    <w:rsid w:val="00C77A28"/>
    <w:rsid w:val="00C8106C"/>
    <w:rsid w:val="00C83D77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641C"/>
    <w:rsid w:val="00D16676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5B4F"/>
    <w:rsid w:val="00D75E9D"/>
    <w:rsid w:val="00D86EA2"/>
    <w:rsid w:val="00D9528F"/>
    <w:rsid w:val="00D954F7"/>
    <w:rsid w:val="00DA0301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6D94"/>
    <w:rsid w:val="00E211B2"/>
    <w:rsid w:val="00E21BCB"/>
    <w:rsid w:val="00E26B8E"/>
    <w:rsid w:val="00E30C43"/>
    <w:rsid w:val="00E36A07"/>
    <w:rsid w:val="00E3771D"/>
    <w:rsid w:val="00E45E2A"/>
    <w:rsid w:val="00E45F77"/>
    <w:rsid w:val="00E46FD3"/>
    <w:rsid w:val="00E507A6"/>
    <w:rsid w:val="00E522A4"/>
    <w:rsid w:val="00E52FF5"/>
    <w:rsid w:val="00E55D67"/>
    <w:rsid w:val="00E55D7C"/>
    <w:rsid w:val="00E573B4"/>
    <w:rsid w:val="00E57812"/>
    <w:rsid w:val="00E6031B"/>
    <w:rsid w:val="00E669F1"/>
    <w:rsid w:val="00E67B90"/>
    <w:rsid w:val="00E76703"/>
    <w:rsid w:val="00E8058D"/>
    <w:rsid w:val="00E829CA"/>
    <w:rsid w:val="00E852BD"/>
    <w:rsid w:val="00E90E98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173D"/>
    <w:rsid w:val="00F2425F"/>
    <w:rsid w:val="00F24EE6"/>
    <w:rsid w:val="00F262B1"/>
    <w:rsid w:val="00F3436B"/>
    <w:rsid w:val="00F403B8"/>
    <w:rsid w:val="00F62B55"/>
    <w:rsid w:val="00F63DD3"/>
    <w:rsid w:val="00F674B8"/>
    <w:rsid w:val="00F710F3"/>
    <w:rsid w:val="00F711E3"/>
    <w:rsid w:val="00F8086D"/>
    <w:rsid w:val="00F86E74"/>
    <w:rsid w:val="00F92A45"/>
    <w:rsid w:val="00F9452D"/>
    <w:rsid w:val="00F94FB8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1327</TotalTime>
  <Pages>16</Pages>
  <Words>3902</Words>
  <Characters>22248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150</cp:revision>
  <cp:lastPrinted>2018-01-29T22:26:00Z</cp:lastPrinted>
  <dcterms:created xsi:type="dcterms:W3CDTF">2016-08-09T04:24:00Z</dcterms:created>
  <dcterms:modified xsi:type="dcterms:W3CDTF">2018-01-31T00:52:00Z</dcterms:modified>
</cp:coreProperties>
</file>