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BE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</w:pPr>
    </w:p>
    <w:p w:rsidR="00A860BE" w:rsidRPr="0020677C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  <w:rPr>
          <w:b w:val="0"/>
        </w:rPr>
      </w:pPr>
      <w:r w:rsidRPr="0020677C">
        <w:rPr>
          <w:b w:val="0"/>
        </w:rPr>
        <w:t>Приложение № 10</w:t>
      </w:r>
    </w:p>
    <w:p w:rsidR="00A860BE" w:rsidRPr="0020677C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  <w:rPr>
          <w:b w:val="0"/>
        </w:rPr>
      </w:pPr>
      <w:r w:rsidRPr="0020677C">
        <w:rPr>
          <w:b w:val="0"/>
        </w:rPr>
        <w:t xml:space="preserve">к Порядку о внутреннем </w:t>
      </w:r>
    </w:p>
    <w:p w:rsidR="00A860BE" w:rsidRPr="0020677C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  <w:rPr>
          <w:b w:val="0"/>
        </w:rPr>
      </w:pPr>
      <w:r w:rsidRPr="0020677C">
        <w:rPr>
          <w:b w:val="0"/>
        </w:rPr>
        <w:t>финансовом контроле</w:t>
      </w:r>
    </w:p>
    <w:p w:rsidR="00A860BE" w:rsidRPr="0020677C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  <w:rPr>
          <w:b w:val="0"/>
        </w:rPr>
      </w:pPr>
      <w:r w:rsidRPr="0020677C">
        <w:rPr>
          <w:b w:val="0"/>
        </w:rPr>
        <w:t xml:space="preserve"> и внутреннем финансовом аудите</w:t>
      </w:r>
    </w:p>
    <w:p w:rsidR="00A860BE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  <w:rPr>
          <w:b w:val="0"/>
        </w:rPr>
      </w:pPr>
      <w:r w:rsidRPr="0020677C">
        <w:rPr>
          <w:b w:val="0"/>
        </w:rPr>
        <w:t xml:space="preserve"> в администрации </w:t>
      </w:r>
      <w:r>
        <w:rPr>
          <w:b w:val="0"/>
        </w:rPr>
        <w:t xml:space="preserve">Верхнебуреинского </w:t>
      </w:r>
    </w:p>
    <w:p w:rsidR="00A860BE" w:rsidRPr="0020677C" w:rsidRDefault="00A860BE" w:rsidP="0020677C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right"/>
        <w:rPr>
          <w:b w:val="0"/>
        </w:rPr>
      </w:pPr>
      <w:r>
        <w:rPr>
          <w:b w:val="0"/>
        </w:rPr>
        <w:t>муниципального района</w:t>
      </w:r>
    </w:p>
    <w:p w:rsidR="00A860BE" w:rsidRDefault="00A860BE" w:rsidP="00A5545A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center"/>
      </w:pPr>
      <w:r>
        <w:t>Оценка бюджетных рисков</w:t>
      </w:r>
    </w:p>
    <w:p w:rsidR="00A860BE" w:rsidRDefault="00A860BE" w:rsidP="00A5545A">
      <w:pPr>
        <w:pStyle w:val="a0"/>
        <w:framePr w:w="15139" w:wrap="notBeside" w:vAnchor="text" w:hAnchor="text" w:xAlign="center" w:y="1"/>
        <w:shd w:val="clear" w:color="auto" w:fill="auto"/>
        <w:spacing w:line="220" w:lineRule="exact"/>
        <w:jc w:val="center"/>
      </w:pPr>
      <w:r>
        <w:t>администрации Верхнебуреинского муниципального района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53"/>
        <w:gridCol w:w="3682"/>
        <w:gridCol w:w="936"/>
        <w:gridCol w:w="926"/>
        <w:gridCol w:w="1042"/>
        <w:gridCol w:w="1018"/>
        <w:gridCol w:w="835"/>
        <w:gridCol w:w="989"/>
        <w:gridCol w:w="1061"/>
        <w:gridCol w:w="998"/>
      </w:tblGrid>
      <w:tr w:rsidR="00A860BE">
        <w:trPr>
          <w:trHeight w:hRule="exact" w:val="634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 w:rsidP="00AB48FB">
            <w:pPr>
              <w:pStyle w:val="21"/>
              <w:framePr w:w="15139" w:wrap="notBeside" w:vAnchor="text" w:hAnchor="text" w:xAlign="center" w:y="1"/>
              <w:shd w:val="clear" w:color="auto" w:fill="auto"/>
              <w:spacing w:line="326" w:lineRule="exact"/>
            </w:pPr>
            <w:r>
              <w:rPr>
                <w:rStyle w:val="20"/>
              </w:rPr>
              <w:t>1.Составление  и представление документов, необходимых для составления и рассмотрения проекта районного бюджета, в том числе обоснований бюджетных ассигнований , реестров расходных обязательств</w:t>
            </w:r>
          </w:p>
        </w:tc>
      </w:tr>
      <w:tr w:rsidR="00A860BE">
        <w:trPr>
          <w:trHeight w:hRule="exact" w:val="629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  <w:tr w:rsidR="00A860BE">
        <w:trPr>
          <w:trHeight w:hRule="exact" w:val="614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  <w:tr w:rsidR="00A860BE" w:rsidTr="0020677C">
        <w:trPr>
          <w:trHeight w:hRule="exact" w:val="1397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A5545A">
            <w:pPr>
              <w:pStyle w:val="21"/>
              <w:framePr w:w="15139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22"/>
              </w:rPr>
              <w:t>Расчет планового объема бюджетных ассигнований администрации Верхнебуреинского района на очередной финансовый год и плановый период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22"/>
              </w:rPr>
              <w:t>Несоблюдение сроков представления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20677C">
        <w:trPr>
          <w:trHeight w:hRule="exact" w:val="705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920D02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 xml:space="preserve">Несоблюдение при планировании расходов нормативов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389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</w:rPr>
              <w:t>2. Составление, утверждение и ведение бюджетной росписи</w:t>
            </w:r>
          </w:p>
        </w:tc>
      </w:tr>
      <w:tr w:rsidR="00A860BE">
        <w:trPr>
          <w:trHeight w:hRule="exact" w:val="312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  <w:tr w:rsidR="00A860BE">
        <w:trPr>
          <w:trHeight w:hRule="exact" w:val="864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  <w:tr w:rsidR="00A860BE" w:rsidTr="0080471F">
        <w:trPr>
          <w:trHeight w:hRule="exact" w:val="1422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A5545A">
            <w:pPr>
              <w:pStyle w:val="21"/>
              <w:framePr w:w="15139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22"/>
              </w:rPr>
              <w:t>Соблюдение Порядка составления, утверждения и ведения бюджетной росписи администрации Верхнебуреинского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Pr="0020677C" w:rsidRDefault="00A860BE" w:rsidP="00DA0B43">
            <w:pPr>
              <w:pStyle w:val="21"/>
              <w:framePr w:w="15139" w:wrap="notBeside" w:vAnchor="text" w:hAnchor="text" w:xAlign="center" w:y="1"/>
              <w:shd w:val="clear" w:color="auto" w:fill="auto"/>
              <w:rPr>
                <w:sz w:val="20"/>
                <w:szCs w:val="20"/>
              </w:rPr>
            </w:pPr>
            <w:r w:rsidRPr="0020677C">
              <w:rPr>
                <w:rStyle w:val="22"/>
                <w:sz w:val="20"/>
                <w:szCs w:val="20"/>
              </w:rPr>
              <w:t>Несоответствие составления, утверждения и ведения бюджетной росписи  Порядку, утвержденному  распоряжением администрации Верхнебуреинского муниципального района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20677C">
        <w:trPr>
          <w:trHeight w:hRule="exact" w:val="1132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Pr="0020677C" w:rsidRDefault="00A860BE" w:rsidP="00654CCD">
            <w:pPr>
              <w:pStyle w:val="21"/>
              <w:framePr w:w="15139" w:wrap="notBeside" w:vAnchor="text" w:hAnchor="text" w:xAlign="center" w:y="1"/>
              <w:shd w:val="clear" w:color="auto" w:fill="auto"/>
              <w:rPr>
                <w:sz w:val="20"/>
                <w:szCs w:val="20"/>
              </w:rPr>
            </w:pPr>
            <w:r w:rsidRPr="0020677C">
              <w:rPr>
                <w:rStyle w:val="22"/>
                <w:sz w:val="20"/>
                <w:szCs w:val="20"/>
              </w:rPr>
              <w:t>Несоответствие показателей бюджетной росписи администрации Верхнебуреинского района, доведенным бюджетным ассигнованиям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20677C">
        <w:trPr>
          <w:trHeight w:hRule="exact" w:val="275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Pr="0020677C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sz w:val="20"/>
                <w:szCs w:val="20"/>
              </w:rPr>
            </w:pPr>
            <w:r w:rsidRPr="0020677C">
              <w:rPr>
                <w:rStyle w:val="22"/>
                <w:sz w:val="20"/>
                <w:szCs w:val="20"/>
              </w:rPr>
              <w:t>Бюджетная роспись не ведется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20677C">
        <w:trPr>
          <w:trHeight w:hRule="exact" w:val="854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Pr="0020677C" w:rsidRDefault="00A860BE" w:rsidP="0080471F">
            <w:pPr>
              <w:pStyle w:val="21"/>
              <w:framePr w:w="15139" w:wrap="notBeside" w:vAnchor="text" w:hAnchor="text" w:xAlign="center" w:y="1"/>
              <w:shd w:val="clear" w:color="auto" w:fill="auto"/>
              <w:jc w:val="both"/>
              <w:rPr>
                <w:sz w:val="20"/>
                <w:szCs w:val="20"/>
              </w:rPr>
            </w:pPr>
            <w:r w:rsidRPr="0020677C">
              <w:rPr>
                <w:rStyle w:val="22"/>
                <w:sz w:val="20"/>
                <w:szCs w:val="20"/>
              </w:rPr>
              <w:t xml:space="preserve">Несоблюдение сроков утверждения бюджетной росписи </w:t>
            </w:r>
            <w:r>
              <w:rPr>
                <w:rStyle w:val="22"/>
                <w:sz w:val="20"/>
                <w:szCs w:val="20"/>
              </w:rPr>
              <w:t>а</w:t>
            </w:r>
            <w:r w:rsidRPr="0020677C">
              <w:rPr>
                <w:rStyle w:val="22"/>
                <w:sz w:val="20"/>
                <w:szCs w:val="20"/>
              </w:rPr>
              <w:t>дминистрацией Верхнебуреинского района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374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</w:rPr>
              <w:t>3.Составление, утверждение и ведение бюджетных смет, свода бюджетных смет</w:t>
            </w:r>
          </w:p>
        </w:tc>
      </w:tr>
      <w:tr w:rsidR="00A860BE">
        <w:trPr>
          <w:trHeight w:hRule="exact" w:val="326"/>
          <w:jc w:val="center"/>
        </w:trPr>
        <w:tc>
          <w:tcPr>
            <w:tcW w:w="3653" w:type="dxa"/>
            <w:tcBorders>
              <w:top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</w:tbl>
    <w:p w:rsidR="00A860BE" w:rsidRDefault="00A860BE">
      <w:pPr>
        <w:framePr w:w="15139" w:wrap="notBeside" w:vAnchor="text" w:hAnchor="text" w:xAlign="center" w:y="1"/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53"/>
        <w:gridCol w:w="3682"/>
        <w:gridCol w:w="936"/>
        <w:gridCol w:w="926"/>
        <w:gridCol w:w="1042"/>
        <w:gridCol w:w="1018"/>
        <w:gridCol w:w="835"/>
        <w:gridCol w:w="989"/>
        <w:gridCol w:w="1061"/>
        <w:gridCol w:w="998"/>
      </w:tblGrid>
      <w:tr w:rsidR="00A860BE">
        <w:trPr>
          <w:trHeight w:hRule="exact" w:val="811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  <w:tr w:rsidR="00A860BE" w:rsidTr="0080471F">
        <w:trPr>
          <w:trHeight w:hRule="exact" w:val="1882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22"/>
              </w:rPr>
              <w:t>Подготовка расчетов и обоснования для формирования бюджетной сметы, внесения изменений в бюджетную смету в течение финансового года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DA0B43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 xml:space="preserve">Несоблюдение Порядка составления, утверждения и ведения бюджетной сметы Порядку, </w:t>
            </w:r>
            <w:r w:rsidRPr="00DA0B43">
              <w:rPr>
                <w:rStyle w:val="22"/>
              </w:rPr>
              <w:t>утвержденному распоряжением администрации Верхнебуреинского муниципального района</w:t>
            </w:r>
            <w:r>
              <w:rPr>
                <w:rStyle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600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22"/>
              </w:rPr>
              <w:t>Несоблюдение сроков формирования бюджетной сметы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302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Наличие арифметической ошибки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902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Несоблюдение порядка применения бюджетной классификации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389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288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</w:rPr>
              <w:t>4. Исполнение бюджетной сметы</w:t>
            </w:r>
          </w:p>
        </w:tc>
      </w:tr>
      <w:tr w:rsidR="00A860BE">
        <w:trPr>
          <w:trHeight w:hRule="exact" w:val="312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  <w:tr w:rsidR="00A860BE">
        <w:trPr>
          <w:trHeight w:hRule="exact" w:val="778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  <w:tr w:rsidR="00A860BE">
        <w:trPr>
          <w:trHeight w:hRule="exact" w:val="629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Начисление заработной платы и начислений (и др. расходов)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Нарушение сроков начисления и перечисления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1013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Регистрация госконтрактов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Нарушение сроков исполнения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902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Предоставление субвенций, субсидий и иных межбюджетных трасфертов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Нарушение сроков предоставления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293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  <w:r>
              <w:rPr>
                <w:rStyle w:val="20"/>
              </w:rPr>
              <w:t>5. Принятие и исполнение бюджетных обязательств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</w:rPr>
            </w:pP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</w:p>
        </w:tc>
      </w:tr>
      <w:tr w:rsidR="00A860BE" w:rsidTr="00DC29B4">
        <w:trPr>
          <w:trHeight w:hRule="exact" w:val="322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</w:tbl>
    <w:p w:rsidR="00A860BE" w:rsidRDefault="00A860BE">
      <w:pPr>
        <w:framePr w:w="15139" w:wrap="notBeside" w:vAnchor="text" w:hAnchor="text" w:xAlign="center" w:y="1"/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53"/>
        <w:gridCol w:w="3682"/>
        <w:gridCol w:w="936"/>
        <w:gridCol w:w="926"/>
        <w:gridCol w:w="1042"/>
        <w:gridCol w:w="1018"/>
        <w:gridCol w:w="835"/>
        <w:gridCol w:w="989"/>
        <w:gridCol w:w="1061"/>
        <w:gridCol w:w="998"/>
      </w:tblGrid>
      <w:tr w:rsidR="00A860BE" w:rsidTr="00DC29B4">
        <w:trPr>
          <w:trHeight w:hRule="exact" w:val="787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  <w:tr w:rsidR="00A860BE" w:rsidTr="00DC29B4">
        <w:trPr>
          <w:trHeight w:hRule="exact" w:val="1747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22"/>
              </w:rPr>
              <w:t>Принятие бюджетных обязательств (государственные контракты, договоры и др.)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8" w:lineRule="exact"/>
            </w:pPr>
            <w:r>
              <w:rPr>
                <w:rStyle w:val="22"/>
              </w:rPr>
              <w:t>Несоблюдение сроков принятия обязательств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1742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Превышение суммы принимаемого бюджетного обязательства над лимитами бюджетных обязательств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902"/>
          <w:jc w:val="center"/>
        </w:trPr>
        <w:tc>
          <w:tcPr>
            <w:tcW w:w="3653" w:type="dxa"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Несоответствие реквизитов по принятым бюджетным обязательствам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1958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920D02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Формирование документов на финансирование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920D02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Неверное указание классификации, назначения, наличие полного перечня подтверждающих документов и несоответствие реквизитов к ним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654CCD">
        <w:trPr>
          <w:trHeight w:hRule="exact" w:val="804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 w:rsidP="0080471F">
            <w:pPr>
              <w:pStyle w:val="21"/>
              <w:framePr w:w="15139" w:wrap="notBeside" w:vAnchor="text" w:hAnchor="text" w:xAlign="center" w:y="1"/>
              <w:shd w:val="clear" w:color="auto" w:fill="auto"/>
              <w:spacing w:line="370" w:lineRule="exact"/>
            </w:pPr>
            <w:r>
              <w:rPr>
                <w:rStyle w:val="20"/>
              </w:rPr>
              <w:t>6. Осуществление начисления, учета и контроля за правильностью исчисления, полнотой и своевременностью осуществления платежей (поступления  источников финансирования дефицита бюджета) в районный бюджет, пеней и штрафов по ним</w:t>
            </w:r>
          </w:p>
        </w:tc>
      </w:tr>
      <w:tr w:rsidR="00A860BE">
        <w:trPr>
          <w:trHeight w:hRule="exact" w:val="312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  <w:tr w:rsidR="00A860BE">
        <w:trPr>
          <w:trHeight w:hRule="exact" w:val="768"/>
          <w:jc w:val="center"/>
        </w:trPr>
        <w:tc>
          <w:tcPr>
            <w:tcW w:w="36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</w:tbl>
    <w:p w:rsidR="00A860BE" w:rsidRDefault="00A860BE">
      <w:pPr>
        <w:framePr w:w="15139" w:wrap="notBeside" w:vAnchor="text" w:hAnchor="text" w:xAlign="center" w:y="1"/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53"/>
        <w:gridCol w:w="3682"/>
        <w:gridCol w:w="936"/>
        <w:gridCol w:w="926"/>
        <w:gridCol w:w="1042"/>
        <w:gridCol w:w="1018"/>
        <w:gridCol w:w="835"/>
        <w:gridCol w:w="989"/>
        <w:gridCol w:w="1061"/>
        <w:gridCol w:w="998"/>
      </w:tblGrid>
      <w:tr w:rsidR="00A860BE" w:rsidTr="000166A1">
        <w:trPr>
          <w:trHeight w:hRule="exact" w:val="1458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Начисление, учет пени и штрафов по государственному контракту в случае нарушения поставщиками и подрядчиками условий контракта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Не применение мер в случае нарушения условий контракта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667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 w:rsidP="00AB48FB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</w:rPr>
              <w:t>7. Процедуры ведения бюджетного учета</w:t>
            </w:r>
          </w:p>
        </w:tc>
      </w:tr>
      <w:tr w:rsidR="00A860BE">
        <w:trPr>
          <w:trHeight w:hRule="exact" w:val="312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  <w:tr w:rsidR="00A860BE" w:rsidTr="00DC29B4">
        <w:trPr>
          <w:trHeight w:hRule="exact" w:val="792"/>
          <w:jc w:val="center"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  <w:tr w:rsidR="00A860BE" w:rsidTr="000166A1">
        <w:trPr>
          <w:trHeight w:hRule="exact" w:val="2867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22"/>
              </w:rPr>
              <w:t>Проверка документов, являющихся основанием для исполнения бюджетных обязательств (акты выполненных работ, оказанных услуг, накладные, иные документы, являющиеся основанием по исполнению принятых бюджетных обязательств) и отражение их в регистрах бюджетного учета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Принятие к исполнению документов, оформленных с нарушением действующего законодательства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DC29B4">
        <w:trPr>
          <w:trHeight w:hRule="exact" w:val="1594"/>
          <w:jc w:val="center"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Несоответствие сумм принятого бюджетного обязательства и документа основания для исполнения бюджетного обязательства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DC29B4">
        <w:trPr>
          <w:trHeight w:hRule="exact" w:val="1027"/>
          <w:jc w:val="center"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Несвоевременное исполнение обязательств поставщиками, исполнителями работ (услуг)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860BE" w:rsidRDefault="00A860BE">
      <w:pPr>
        <w:framePr w:w="15139" w:wrap="notBeside" w:vAnchor="text" w:hAnchor="text" w:xAlign="center" w:y="1"/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53"/>
        <w:gridCol w:w="3682"/>
        <w:gridCol w:w="936"/>
        <w:gridCol w:w="926"/>
        <w:gridCol w:w="1042"/>
        <w:gridCol w:w="1018"/>
        <w:gridCol w:w="835"/>
        <w:gridCol w:w="989"/>
        <w:gridCol w:w="1061"/>
        <w:gridCol w:w="998"/>
      </w:tblGrid>
      <w:tr w:rsidR="00A860BE" w:rsidTr="000166A1">
        <w:trPr>
          <w:trHeight w:hRule="exact" w:val="735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654CCD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Несвоевременное исполнение обязательств администрацией района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0166A1">
        <w:trPr>
          <w:trHeight w:hRule="exact" w:val="1965"/>
          <w:jc w:val="center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654CCD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Систематизация и накопление информации, содержащейся в принятых к учету первичных учетных документов, в регистрах бюджетного учета с применением средств автоматизации в программе "1С"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654CCD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Несоответствие данных первичного документа с данными бюджетного учета, отраженными в учетных регистрах, сформированных в программном продукте "1С"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 w:rsidTr="000166A1">
        <w:trPr>
          <w:trHeight w:hRule="exact" w:val="2703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 w:rsidP="00654CCD">
            <w:pPr>
              <w:pStyle w:val="21"/>
              <w:framePr w:w="15139" w:wrap="notBeside" w:vAnchor="text" w:hAnchor="text" w:xAlign="center" w:y="1"/>
              <w:shd w:val="clear" w:color="auto" w:fill="auto"/>
              <w:jc w:val="center"/>
            </w:pPr>
            <w:r>
              <w:rPr>
                <w:rStyle w:val="22"/>
              </w:rPr>
              <w:t>Проведение инвентаризации имущества администрации Верхнебуреинского муниципального района, денежных средств, документов и финансовых обязательств, своевременное и правильное определение результатов инвентаризации и отражение их в учете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Нарушение сроков проведения инвентаризации имущества, денежных средств, обязательств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1190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</w:pPr>
            <w:r>
              <w:rPr>
                <w:rStyle w:val="22"/>
              </w:rPr>
              <w:t>Несвоевременное и некачественное оформление результатов инвентаризации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662"/>
          <w:jc w:val="center"/>
        </w:trPr>
        <w:tc>
          <w:tcPr>
            <w:tcW w:w="3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93" w:lineRule="exact"/>
            </w:pPr>
            <w:r>
              <w:rPr>
                <w:rStyle w:val="22"/>
              </w:rPr>
              <w:t>Недостоверность данных по результатам инвентаризации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60BE" w:rsidRDefault="00A860BE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860BE">
        <w:trPr>
          <w:trHeight w:hRule="exact" w:val="293"/>
          <w:jc w:val="center"/>
        </w:trPr>
        <w:tc>
          <w:tcPr>
            <w:tcW w:w="1514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 w:rsidP="0080471F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</w:rPr>
              <w:t>8. Составление и представление бюджетной отчетности, свобной бюджетной отчетности</w:t>
            </w:r>
          </w:p>
        </w:tc>
      </w:tr>
      <w:tr w:rsidR="00A860BE">
        <w:trPr>
          <w:trHeight w:hRule="exact" w:val="312"/>
          <w:jc w:val="center"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Наименование операции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Бюджетные риски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Вероятность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Последствия</w:t>
            </w:r>
          </w:p>
        </w:tc>
      </w:tr>
      <w:tr w:rsidR="00A860BE">
        <w:trPr>
          <w:trHeight w:hRule="exact" w:val="854"/>
          <w:jc w:val="center"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framePr w:w="15139" w:wrap="notBeside" w:vAnchor="text" w:hAnchor="text" w:xAlign="center" w:y="1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ная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высокая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Низкие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Умеренн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ые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2"/>
              </w:rPr>
              <w:t>Высокие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Очень</w:t>
            </w:r>
          </w:p>
          <w:p w:rsidR="00A860BE" w:rsidRDefault="00A860BE">
            <w:pPr>
              <w:pStyle w:val="21"/>
              <w:framePr w:w="15139" w:wrap="notBeside" w:vAnchor="text" w:hAnchor="text" w:xAlign="center" w:y="1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высокие</w:t>
            </w:r>
          </w:p>
        </w:tc>
      </w:tr>
    </w:tbl>
    <w:p w:rsidR="00A860BE" w:rsidRDefault="00A860BE">
      <w:pPr>
        <w:framePr w:w="15139" w:wrap="notBeside" w:vAnchor="text" w:hAnchor="text" w:xAlign="center" w:y="1"/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>
      <w:pPr>
        <w:rPr>
          <w:sz w:val="2"/>
          <w:szCs w:val="2"/>
        </w:rPr>
      </w:pPr>
    </w:p>
    <w:p w:rsidR="00A860BE" w:rsidRDefault="00A860BE" w:rsidP="000166A1">
      <w:r>
        <w:rPr>
          <w:rFonts w:ascii="Times New Roman" w:hAnsi="Times New Roman" w:cs="Times New Roman"/>
        </w:rPr>
        <w:t>Главный бухгалтер                                                                    М.М. Рябыкина</w:t>
      </w:r>
    </w:p>
    <w:sectPr w:rsidR="00A860BE" w:rsidSect="00B83C3A">
      <w:pgSz w:w="16840" w:h="11900" w:orient="landscape"/>
      <w:pgMar w:top="1096" w:right="568" w:bottom="109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0BE" w:rsidRDefault="00A860BE">
      <w:r>
        <w:separator/>
      </w:r>
    </w:p>
  </w:endnote>
  <w:endnote w:type="continuationSeparator" w:id="0">
    <w:p w:rsidR="00A860BE" w:rsidRDefault="00A86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0BE" w:rsidRDefault="00A860BE"/>
  </w:footnote>
  <w:footnote w:type="continuationSeparator" w:id="0">
    <w:p w:rsidR="00A860BE" w:rsidRDefault="00A860B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F3F"/>
    <w:rsid w:val="000166A1"/>
    <w:rsid w:val="00051605"/>
    <w:rsid w:val="000C1F3F"/>
    <w:rsid w:val="00101751"/>
    <w:rsid w:val="0020677C"/>
    <w:rsid w:val="00294DCE"/>
    <w:rsid w:val="0045493E"/>
    <w:rsid w:val="004C7522"/>
    <w:rsid w:val="005324C5"/>
    <w:rsid w:val="00654CCD"/>
    <w:rsid w:val="00673AAC"/>
    <w:rsid w:val="0080471F"/>
    <w:rsid w:val="00812A56"/>
    <w:rsid w:val="00882DD8"/>
    <w:rsid w:val="009035B0"/>
    <w:rsid w:val="00920D02"/>
    <w:rsid w:val="009B3881"/>
    <w:rsid w:val="009E141C"/>
    <w:rsid w:val="00A00BD6"/>
    <w:rsid w:val="00A35D02"/>
    <w:rsid w:val="00A5545A"/>
    <w:rsid w:val="00A860BE"/>
    <w:rsid w:val="00AB478B"/>
    <w:rsid w:val="00AB48FB"/>
    <w:rsid w:val="00B463DE"/>
    <w:rsid w:val="00B47927"/>
    <w:rsid w:val="00B736A0"/>
    <w:rsid w:val="00B759DE"/>
    <w:rsid w:val="00B83C3A"/>
    <w:rsid w:val="00BF234C"/>
    <w:rsid w:val="00C751D3"/>
    <w:rsid w:val="00DA0B43"/>
    <w:rsid w:val="00DC29B4"/>
    <w:rsid w:val="00DE4424"/>
    <w:rsid w:val="00E7458D"/>
    <w:rsid w:val="00E80DD7"/>
    <w:rsid w:val="00ED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C3A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83C3A"/>
    <w:rPr>
      <w:rFonts w:cs="Times New Roman"/>
      <w:color w:val="0066CC"/>
      <w:u w:val="single"/>
    </w:rPr>
  </w:style>
  <w:style w:type="character" w:customStyle="1" w:styleId="a">
    <w:name w:val="Подпись к таблице_"/>
    <w:basedOn w:val="DefaultParagraphFont"/>
    <w:link w:val="a0"/>
    <w:uiPriority w:val="99"/>
    <w:locked/>
    <w:rsid w:val="00B83C3A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B83C3A"/>
    <w:rPr>
      <w:rFonts w:ascii="Times New Roman" w:hAnsi="Times New Roman" w:cs="Times New Roman"/>
      <w:sz w:val="22"/>
      <w:szCs w:val="22"/>
      <w:u w:val="none"/>
    </w:rPr>
  </w:style>
  <w:style w:type="character" w:customStyle="1" w:styleId="20">
    <w:name w:val="Основной текст (2) + Полужирный"/>
    <w:basedOn w:val="2"/>
    <w:uiPriority w:val="99"/>
    <w:rsid w:val="00B83C3A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2">
    <w:name w:val="Основной текст (2)"/>
    <w:basedOn w:val="2"/>
    <w:uiPriority w:val="99"/>
    <w:rsid w:val="00B83C3A"/>
    <w:rPr>
      <w:color w:val="000000"/>
      <w:spacing w:val="0"/>
      <w:w w:val="100"/>
      <w:position w:val="0"/>
      <w:lang w:val="ru-RU" w:eastAsia="ru-RU"/>
    </w:rPr>
  </w:style>
  <w:style w:type="character" w:customStyle="1" w:styleId="2Exact">
    <w:name w:val="Основной текст (2) Exact"/>
    <w:basedOn w:val="DefaultParagraphFont"/>
    <w:uiPriority w:val="99"/>
    <w:rsid w:val="00B83C3A"/>
    <w:rPr>
      <w:rFonts w:ascii="Times New Roman" w:hAnsi="Times New Roman" w:cs="Times New Roman"/>
      <w:sz w:val="22"/>
      <w:szCs w:val="22"/>
      <w:u w:val="none"/>
    </w:rPr>
  </w:style>
  <w:style w:type="paragraph" w:customStyle="1" w:styleId="a0">
    <w:name w:val="Подпись к таблице"/>
    <w:basedOn w:val="Normal"/>
    <w:link w:val="a"/>
    <w:uiPriority w:val="99"/>
    <w:rsid w:val="00B83C3A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 (2)1"/>
    <w:basedOn w:val="Normal"/>
    <w:link w:val="2"/>
    <w:uiPriority w:val="99"/>
    <w:rsid w:val="00B83C3A"/>
    <w:pPr>
      <w:shd w:val="clear" w:color="auto" w:fill="FFFFFF"/>
      <w:spacing w:line="288" w:lineRule="exact"/>
    </w:pPr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673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3AAC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rsid w:val="00E80D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0DD7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E80D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80DD7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</TotalTime>
  <Pages>5</Pages>
  <Words>889</Words>
  <Characters>5070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21</cp:revision>
  <cp:lastPrinted>2018-12-26T23:06:00Z</cp:lastPrinted>
  <dcterms:created xsi:type="dcterms:W3CDTF">2018-11-13T05:32:00Z</dcterms:created>
  <dcterms:modified xsi:type="dcterms:W3CDTF">2018-12-26T23:06:00Z</dcterms:modified>
</cp:coreProperties>
</file>