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E2" w:rsidRPr="000C7447" w:rsidRDefault="00F954E2" w:rsidP="000C74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C7447">
        <w:rPr>
          <w:rFonts w:ascii="Times New Roman" w:hAnsi="Times New Roman"/>
          <w:sz w:val="28"/>
          <w:szCs w:val="28"/>
        </w:rPr>
        <w:t>Администрация</w:t>
      </w:r>
    </w:p>
    <w:p w:rsidR="00F954E2" w:rsidRPr="000C7447" w:rsidRDefault="00F954E2" w:rsidP="000C74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C7447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954E2" w:rsidRPr="000C7447" w:rsidRDefault="00F954E2" w:rsidP="000C74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954E2" w:rsidRPr="000C7447" w:rsidRDefault="00F954E2" w:rsidP="000C74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C7447">
        <w:rPr>
          <w:rFonts w:ascii="Times New Roman" w:hAnsi="Times New Roman"/>
          <w:sz w:val="28"/>
          <w:szCs w:val="28"/>
        </w:rPr>
        <w:t>ПОСТАНОВЛЕНИЕ</w:t>
      </w:r>
    </w:p>
    <w:p w:rsidR="00F954E2" w:rsidRPr="000C7447" w:rsidRDefault="00F954E2" w:rsidP="000C74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954E2" w:rsidRPr="000C7447" w:rsidRDefault="00F954E2" w:rsidP="000C744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954E2" w:rsidRPr="000C7447" w:rsidRDefault="00F954E2" w:rsidP="000C7447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08.05</w:t>
      </w:r>
      <w:r w:rsidRPr="000C7447">
        <w:rPr>
          <w:rFonts w:ascii="Times New Roman" w:hAnsi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/>
          <w:sz w:val="28"/>
          <w:szCs w:val="28"/>
          <w:u w:val="single"/>
        </w:rPr>
        <w:t>25</w:t>
      </w:r>
      <w:r w:rsidRPr="000C7447">
        <w:rPr>
          <w:rFonts w:ascii="Times New Roman" w:hAnsi="Times New Roman"/>
          <w:sz w:val="28"/>
          <w:szCs w:val="28"/>
          <w:u w:val="single"/>
        </w:rPr>
        <w:t>2</w:t>
      </w:r>
    </w:p>
    <w:p w:rsidR="00F954E2" w:rsidRPr="000C7447" w:rsidRDefault="00F954E2" w:rsidP="000C7447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0C7447">
        <w:rPr>
          <w:rFonts w:ascii="Times New Roman" w:hAnsi="Times New Roman"/>
          <w:sz w:val="28"/>
          <w:szCs w:val="28"/>
        </w:rPr>
        <w:t>п. Чегдомын</w:t>
      </w:r>
    </w:p>
    <w:p w:rsidR="00F954E2" w:rsidRDefault="00F954E2" w:rsidP="00CD0BA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54E2" w:rsidRDefault="00F954E2" w:rsidP="00CD0BA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54E2" w:rsidRDefault="00F954E2" w:rsidP="00CD0BA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BA3">
        <w:rPr>
          <w:rFonts w:ascii="Times New Roman" w:hAnsi="Times New Roman" w:cs="Times New Roman"/>
          <w:b w:val="0"/>
          <w:sz w:val="28"/>
          <w:szCs w:val="28"/>
        </w:rPr>
        <w:t>Об установлении систем оплаты труда работников муниципальных бюджетных, автономных и казенных учреждений Верхнебуреинского муниципального района</w:t>
      </w:r>
    </w:p>
    <w:p w:rsidR="00F954E2" w:rsidRPr="00CD0BA3" w:rsidRDefault="00F954E2" w:rsidP="00CD0BA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54E2" w:rsidRPr="00CD0BA3" w:rsidRDefault="00F954E2" w:rsidP="00CD0BA3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before="20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BA3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144 Трудового кодекса Российской Федерации, с Законом Хабаровского края от 26 ноября </w:t>
      </w:r>
      <w:smartTag w:uri="urn:schemas-microsoft-com:office:smarttags" w:element="metricconverter">
        <w:smartTagPr>
          <w:attr w:name="ProductID" w:val="2008 г"/>
        </w:smartTagPr>
        <w:r w:rsidRPr="00CD0BA3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CD0BA3">
        <w:rPr>
          <w:rFonts w:ascii="Times New Roman" w:hAnsi="Times New Roman"/>
          <w:sz w:val="28"/>
          <w:szCs w:val="28"/>
          <w:lang w:eastAsia="ru-RU"/>
        </w:rPr>
        <w:t>. № 222 в целях повышения эффективности организации оплаты труда работников муниципальных казенных, бюджетных и автономных учреждений Верхнебуреинского муниципального района, администрация района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D0BA3">
        <w:rPr>
          <w:rFonts w:ascii="Times New Roman" w:hAnsi="Times New Roman"/>
          <w:sz w:val="28"/>
          <w:szCs w:val="28"/>
          <w:lang w:eastAsia="ru-RU"/>
        </w:rPr>
        <w:t>СТАНОВЛЯЕТ:</w:t>
      </w:r>
    </w:p>
    <w:p w:rsidR="00F954E2" w:rsidRPr="00CD0BA3" w:rsidRDefault="00F954E2" w:rsidP="00CD0BA3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0BA3">
        <w:rPr>
          <w:rFonts w:ascii="Times New Roman" w:hAnsi="Times New Roman"/>
          <w:sz w:val="28"/>
          <w:szCs w:val="28"/>
        </w:rPr>
        <w:t>Утвердить прилагаемое Положение об установлении систем оплаты труда работников муниципальных бюджетных, казенных и автономных учреждений Верхнебуреинского муниципального района.</w:t>
      </w:r>
    </w:p>
    <w:p w:rsidR="00F954E2" w:rsidRPr="00CD0BA3" w:rsidRDefault="00F954E2" w:rsidP="00CD0BA3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0BA3">
        <w:rPr>
          <w:rFonts w:ascii="Times New Roman" w:hAnsi="Times New Roman"/>
          <w:sz w:val="28"/>
          <w:szCs w:val="28"/>
        </w:rPr>
        <w:t>Рекомендовать руководителям муниципальных учреждений Верхнебуреинского района руководствоваться положением настоящего постановления при регулировании вопросов оплаты труда работников муниципальных учреждений.</w:t>
      </w:r>
    </w:p>
    <w:p w:rsidR="00F954E2" w:rsidRPr="00CD0BA3" w:rsidRDefault="00F954E2" w:rsidP="00CD0BA3">
      <w:pPr>
        <w:pStyle w:val="ListParagraph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0BA3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F954E2" w:rsidRPr="00CD0BA3" w:rsidRDefault="00F954E2" w:rsidP="00CD0BA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CD0BA3">
        <w:rPr>
          <w:rFonts w:ascii="Times New Roman" w:hAnsi="Times New Roman"/>
          <w:sz w:val="28"/>
          <w:szCs w:val="28"/>
        </w:rPr>
        <w:t xml:space="preserve">постановление Администрации Верхнебуреинского муниципального района № 796 от 29 октября </w:t>
      </w:r>
      <w:smartTag w:uri="urn:schemas-microsoft-com:office:smarttags" w:element="metricconverter">
        <w:smartTagPr>
          <w:attr w:name="ProductID" w:val="2008 г"/>
        </w:smartTagPr>
        <w:r w:rsidRPr="00CD0BA3">
          <w:rPr>
            <w:rFonts w:ascii="Times New Roman" w:hAnsi="Times New Roman"/>
            <w:sz w:val="28"/>
            <w:szCs w:val="28"/>
          </w:rPr>
          <w:t>2008 г</w:t>
        </w:r>
      </w:smartTag>
      <w:r w:rsidRPr="00CD0BA3">
        <w:rPr>
          <w:rFonts w:ascii="Times New Roman" w:hAnsi="Times New Roman"/>
          <w:sz w:val="28"/>
          <w:szCs w:val="28"/>
        </w:rPr>
        <w:t>. «О введении новых систем оплаты труда работников муниципальных учреждений Верхнебуреинского муниципального района»;</w:t>
      </w:r>
    </w:p>
    <w:p w:rsidR="00F954E2" w:rsidRPr="00CD0BA3" w:rsidRDefault="00F954E2" w:rsidP="00CD0BA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D0BA3">
        <w:rPr>
          <w:rFonts w:ascii="Times New Roman" w:hAnsi="Times New Roman"/>
          <w:sz w:val="28"/>
          <w:szCs w:val="28"/>
        </w:rPr>
        <w:t xml:space="preserve">- постановление Главы Верхнебуреинского муниципального района от 12 февраля </w:t>
      </w:r>
      <w:smartTag w:uri="urn:schemas-microsoft-com:office:smarttags" w:element="metricconverter">
        <w:smartTagPr>
          <w:attr w:name="ProductID" w:val="2009 г"/>
        </w:smartTagPr>
        <w:r w:rsidRPr="00CD0BA3">
          <w:rPr>
            <w:rFonts w:ascii="Times New Roman" w:hAnsi="Times New Roman"/>
            <w:sz w:val="28"/>
            <w:szCs w:val="28"/>
          </w:rPr>
          <w:t>2009 г</w:t>
        </w:r>
      </w:smartTag>
      <w:r w:rsidRPr="00CD0BA3">
        <w:rPr>
          <w:rFonts w:ascii="Times New Roman" w:hAnsi="Times New Roman"/>
          <w:sz w:val="28"/>
          <w:szCs w:val="28"/>
        </w:rPr>
        <w:t xml:space="preserve">.  № 81 «О внесении изменений в постановления главы района от 29 октября </w:t>
      </w:r>
      <w:smartTag w:uri="urn:schemas-microsoft-com:office:smarttags" w:element="metricconverter">
        <w:smartTagPr>
          <w:attr w:name="ProductID" w:val="2008 г"/>
        </w:smartTagPr>
        <w:r w:rsidRPr="00CD0BA3">
          <w:rPr>
            <w:rFonts w:ascii="Times New Roman" w:hAnsi="Times New Roman"/>
            <w:sz w:val="28"/>
            <w:szCs w:val="28"/>
          </w:rPr>
          <w:t>2008 г</w:t>
        </w:r>
      </w:smartTag>
      <w:r w:rsidRPr="00CD0BA3">
        <w:rPr>
          <w:rFonts w:ascii="Times New Roman" w:hAnsi="Times New Roman"/>
          <w:sz w:val="28"/>
          <w:szCs w:val="28"/>
        </w:rPr>
        <w:t>.  № 796 и от 30 октября 2008 N 803»;</w:t>
      </w:r>
    </w:p>
    <w:p w:rsidR="00F954E2" w:rsidRPr="00CD0BA3" w:rsidRDefault="00F954E2" w:rsidP="00CD0BA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CD0BA3">
        <w:rPr>
          <w:rFonts w:ascii="Times New Roman" w:hAnsi="Times New Roman"/>
          <w:sz w:val="28"/>
          <w:szCs w:val="28"/>
        </w:rPr>
        <w:t xml:space="preserve">постановление Администрации Верхнебуреинского муниципального района от 26 февраля </w:t>
      </w:r>
      <w:smartTag w:uri="urn:schemas-microsoft-com:office:smarttags" w:element="metricconverter">
        <w:smartTagPr>
          <w:attr w:name="ProductID" w:val="2013 г"/>
        </w:smartTagPr>
        <w:r w:rsidRPr="00CD0BA3">
          <w:rPr>
            <w:rFonts w:ascii="Times New Roman" w:hAnsi="Times New Roman"/>
            <w:sz w:val="28"/>
            <w:szCs w:val="28"/>
          </w:rPr>
          <w:t>2013 г</w:t>
        </w:r>
      </w:smartTag>
      <w:r w:rsidRPr="00CD0BA3">
        <w:rPr>
          <w:rFonts w:ascii="Times New Roman" w:hAnsi="Times New Roman"/>
          <w:sz w:val="28"/>
          <w:szCs w:val="28"/>
        </w:rPr>
        <w:t>. № 179 «О внесении изменений в постановление главы района от 29 октября 2008 № 796»</w:t>
      </w:r>
    </w:p>
    <w:p w:rsidR="00F954E2" w:rsidRPr="00CD0BA3" w:rsidRDefault="00F954E2" w:rsidP="00CD0BA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>
        <w:rPr>
          <w:rFonts w:ascii="Times New Roman" w:hAnsi="Times New Roman"/>
          <w:sz w:val="28"/>
          <w:szCs w:val="28"/>
        </w:rPr>
        <w:tab/>
      </w:r>
      <w:r w:rsidRPr="00CD0BA3">
        <w:rPr>
          <w:rFonts w:ascii="Times New Roman" w:hAnsi="Times New Roman"/>
          <w:sz w:val="28"/>
          <w:szCs w:val="28"/>
        </w:rPr>
        <w:t xml:space="preserve">постановление Администрации Верхнебуреинского муниципального района от 08 апреля </w:t>
      </w:r>
      <w:smartTag w:uri="urn:schemas-microsoft-com:office:smarttags" w:element="metricconverter">
        <w:smartTagPr>
          <w:attr w:name="ProductID" w:val="2015 г"/>
        </w:smartTagPr>
        <w:r w:rsidRPr="00CD0BA3">
          <w:rPr>
            <w:rFonts w:ascii="Times New Roman" w:hAnsi="Times New Roman"/>
            <w:sz w:val="28"/>
            <w:szCs w:val="28"/>
          </w:rPr>
          <w:t>2015 г</w:t>
        </w:r>
      </w:smartTag>
      <w:r w:rsidRPr="00CD0BA3">
        <w:rPr>
          <w:rFonts w:ascii="Times New Roman" w:hAnsi="Times New Roman"/>
          <w:sz w:val="28"/>
          <w:szCs w:val="28"/>
        </w:rPr>
        <w:t xml:space="preserve">. № 371 «О внесении изменений в постановление главы района от 29 октября </w:t>
      </w:r>
      <w:smartTag w:uri="urn:schemas-microsoft-com:office:smarttags" w:element="metricconverter">
        <w:smartTagPr>
          <w:attr w:name="ProductID" w:val="2008 г"/>
        </w:smartTagPr>
        <w:r w:rsidRPr="00CD0BA3">
          <w:rPr>
            <w:rFonts w:ascii="Times New Roman" w:hAnsi="Times New Roman"/>
            <w:sz w:val="28"/>
            <w:szCs w:val="28"/>
          </w:rPr>
          <w:t>2008 г</w:t>
        </w:r>
      </w:smartTag>
      <w:r w:rsidRPr="00CD0BA3">
        <w:rPr>
          <w:rFonts w:ascii="Times New Roman" w:hAnsi="Times New Roman"/>
          <w:sz w:val="28"/>
          <w:szCs w:val="28"/>
        </w:rPr>
        <w:t>. № 796»;</w:t>
      </w:r>
    </w:p>
    <w:p w:rsidR="00F954E2" w:rsidRDefault="00F954E2" w:rsidP="00CD0BA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>
        <w:rPr>
          <w:rFonts w:ascii="Times New Roman" w:hAnsi="Times New Roman"/>
          <w:sz w:val="28"/>
          <w:szCs w:val="28"/>
        </w:rPr>
        <w:tab/>
      </w:r>
      <w:r w:rsidRPr="00CD0BA3">
        <w:rPr>
          <w:rFonts w:ascii="Times New Roman" w:hAnsi="Times New Roman"/>
          <w:sz w:val="28"/>
          <w:szCs w:val="28"/>
        </w:rPr>
        <w:t xml:space="preserve">постановление Администрации Верхнебуреинского муниципального района от 08 апреля </w:t>
      </w:r>
      <w:smartTag w:uri="urn:schemas-microsoft-com:office:smarttags" w:element="metricconverter">
        <w:smartTagPr>
          <w:attr w:name="ProductID" w:val="2019 г"/>
        </w:smartTagPr>
        <w:r w:rsidRPr="00CD0BA3">
          <w:rPr>
            <w:rFonts w:ascii="Times New Roman" w:hAnsi="Times New Roman"/>
            <w:sz w:val="28"/>
            <w:szCs w:val="28"/>
          </w:rPr>
          <w:t>2019 г</w:t>
        </w:r>
      </w:smartTag>
      <w:r w:rsidRPr="00CD0BA3">
        <w:rPr>
          <w:rFonts w:ascii="Times New Roman" w:hAnsi="Times New Roman"/>
          <w:sz w:val="28"/>
          <w:szCs w:val="28"/>
        </w:rPr>
        <w:t>. № 167 «О внесении изменений в Положение об установлении систем оплаты труда работников</w:t>
      </w:r>
    </w:p>
    <w:p w:rsidR="00F954E2" w:rsidRPr="00CD0BA3" w:rsidRDefault="00F954E2" w:rsidP="00CD0BA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0BA3">
        <w:rPr>
          <w:rFonts w:ascii="Times New Roman" w:hAnsi="Times New Roman"/>
          <w:sz w:val="28"/>
          <w:szCs w:val="28"/>
        </w:rPr>
        <w:t xml:space="preserve">муниципальных учреждений Верхнебуреинского муниципального района, утвержденное Постановлением главы Верхнебуреинского муниципального района от 29 октября </w:t>
      </w:r>
      <w:smartTag w:uri="urn:schemas-microsoft-com:office:smarttags" w:element="metricconverter">
        <w:smartTagPr>
          <w:attr w:name="ProductID" w:val="2008 г"/>
        </w:smartTagPr>
        <w:r w:rsidRPr="00CD0BA3">
          <w:rPr>
            <w:rFonts w:ascii="Times New Roman" w:hAnsi="Times New Roman"/>
            <w:sz w:val="28"/>
            <w:szCs w:val="28"/>
          </w:rPr>
          <w:t>2008 г</w:t>
        </w:r>
      </w:smartTag>
      <w:r w:rsidRPr="00CD0BA3">
        <w:rPr>
          <w:rFonts w:ascii="Times New Roman" w:hAnsi="Times New Roman"/>
          <w:sz w:val="28"/>
          <w:szCs w:val="28"/>
        </w:rPr>
        <w:t>. № 796».</w:t>
      </w:r>
    </w:p>
    <w:p w:rsidR="00F954E2" w:rsidRPr="00CD0BA3" w:rsidRDefault="00F954E2" w:rsidP="00CD0BA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BA3">
        <w:rPr>
          <w:rFonts w:ascii="Times New Roman" w:hAnsi="Times New Roman"/>
          <w:sz w:val="28"/>
          <w:szCs w:val="28"/>
          <w:lang w:eastAsia="ru-RU"/>
        </w:rPr>
        <w:t xml:space="preserve">       4. Контроль за исполнением настоящего постановления оставляю за собой.        </w:t>
      </w:r>
    </w:p>
    <w:p w:rsidR="00F954E2" w:rsidRPr="00CD0BA3" w:rsidRDefault="00F954E2" w:rsidP="00CD0BA3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BA3">
        <w:rPr>
          <w:rFonts w:ascii="Times New Roman" w:hAnsi="Times New Roman"/>
          <w:sz w:val="28"/>
          <w:szCs w:val="28"/>
          <w:lang w:eastAsia="ru-RU"/>
        </w:rPr>
        <w:t xml:space="preserve">       5. Настоящее постановление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после его официального </w:t>
      </w:r>
      <w:r w:rsidRPr="00CD0BA3">
        <w:rPr>
          <w:rFonts w:ascii="Times New Roman" w:hAnsi="Times New Roman"/>
          <w:sz w:val="28"/>
          <w:szCs w:val="28"/>
          <w:lang w:eastAsia="ru-RU"/>
        </w:rPr>
        <w:t>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(обнародования)</w:t>
      </w:r>
      <w:r w:rsidRPr="00CD0BA3">
        <w:rPr>
          <w:rFonts w:ascii="Times New Roman" w:hAnsi="Times New Roman"/>
          <w:sz w:val="28"/>
          <w:szCs w:val="28"/>
          <w:lang w:eastAsia="ru-RU"/>
        </w:rPr>
        <w:t>.</w:t>
      </w: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Pr="00CD0BA3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BA3">
        <w:rPr>
          <w:rFonts w:ascii="Times New Roman" w:hAnsi="Times New Roman"/>
          <w:sz w:val="28"/>
          <w:szCs w:val="28"/>
          <w:lang w:eastAsia="ru-RU"/>
        </w:rPr>
        <w:t>Глава района</w:t>
      </w:r>
      <w:r w:rsidRPr="00CD0BA3">
        <w:rPr>
          <w:rFonts w:ascii="Times New Roman" w:hAnsi="Times New Roman"/>
          <w:sz w:val="28"/>
          <w:szCs w:val="28"/>
          <w:lang w:eastAsia="ru-RU"/>
        </w:rPr>
        <w:tab/>
      </w:r>
      <w:r w:rsidRPr="00CD0BA3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CD0BA3">
        <w:rPr>
          <w:rFonts w:ascii="Times New Roman" w:hAnsi="Times New Roman"/>
          <w:sz w:val="28"/>
          <w:szCs w:val="28"/>
          <w:lang w:eastAsia="ru-RU"/>
        </w:rPr>
        <w:tab/>
      </w:r>
      <w:r w:rsidRPr="00CD0BA3">
        <w:rPr>
          <w:rFonts w:ascii="Times New Roman" w:hAnsi="Times New Roman"/>
          <w:sz w:val="28"/>
          <w:szCs w:val="28"/>
          <w:lang w:eastAsia="ru-RU"/>
        </w:rPr>
        <w:tab/>
      </w:r>
      <w:r w:rsidRPr="00CD0BA3">
        <w:rPr>
          <w:rFonts w:ascii="Times New Roman" w:hAnsi="Times New Roman"/>
          <w:sz w:val="28"/>
          <w:szCs w:val="28"/>
          <w:lang w:eastAsia="ru-RU"/>
        </w:rPr>
        <w:tab/>
      </w:r>
      <w:r w:rsidRPr="00CD0BA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D0BA3">
        <w:rPr>
          <w:rFonts w:ascii="Times New Roman" w:hAnsi="Times New Roman"/>
          <w:sz w:val="28"/>
          <w:szCs w:val="28"/>
          <w:lang w:eastAsia="ru-RU"/>
        </w:rPr>
        <w:t>А.М. Маслов</w:t>
      </w: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4E2" w:rsidRDefault="00F954E2" w:rsidP="005C2C49">
      <w:pPr>
        <w:pStyle w:val="ListParagraph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508"/>
        <w:gridCol w:w="4006"/>
      </w:tblGrid>
      <w:tr w:rsidR="00F954E2" w:rsidTr="002635EB">
        <w:tc>
          <w:tcPr>
            <w:tcW w:w="5508" w:type="dxa"/>
          </w:tcPr>
          <w:p w:rsidR="00F954E2" w:rsidRPr="002635EB" w:rsidRDefault="00F954E2" w:rsidP="002635EB">
            <w:pPr>
              <w:pStyle w:val="ListParagraph"/>
              <w:widowControl w:val="0"/>
              <w:autoSpaceDE w:val="0"/>
              <w:autoSpaceDN w:val="0"/>
              <w:adjustRightInd w:val="0"/>
              <w:spacing w:before="20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F954E2" w:rsidRPr="002635EB" w:rsidRDefault="00F954E2" w:rsidP="002635E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5EB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F954E2" w:rsidRPr="002635EB" w:rsidRDefault="00F954E2" w:rsidP="002635E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954E2" w:rsidRPr="002635EB" w:rsidRDefault="00F954E2" w:rsidP="002635E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5EB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</w:t>
            </w:r>
          </w:p>
          <w:p w:rsidR="00F954E2" w:rsidRPr="002635EB" w:rsidRDefault="00F954E2" w:rsidP="002635E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5E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F954E2" w:rsidRPr="002635EB" w:rsidRDefault="00F954E2" w:rsidP="002635E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954E2" w:rsidRPr="002635EB" w:rsidRDefault="00F954E2" w:rsidP="002635E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08.05.2019  № 252</w:t>
            </w:r>
          </w:p>
        </w:tc>
      </w:tr>
    </w:tbl>
    <w:p w:rsidR="00F954E2" w:rsidRPr="00CD0BA3" w:rsidRDefault="00F954E2" w:rsidP="006B6AA5">
      <w:pPr>
        <w:pStyle w:val="ListParagraph"/>
        <w:widowControl w:val="0"/>
        <w:autoSpaceDE w:val="0"/>
        <w:autoSpaceDN w:val="0"/>
        <w:adjustRightInd w:val="0"/>
        <w:spacing w:before="200"/>
        <w:ind w:left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D0B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F954E2" w:rsidRDefault="00F954E2" w:rsidP="006B6AA5">
      <w:pPr>
        <w:pStyle w:val="ListParagraph"/>
        <w:widowControl w:val="0"/>
        <w:autoSpaceDE w:val="0"/>
        <w:autoSpaceDN w:val="0"/>
        <w:adjustRightInd w:val="0"/>
        <w:spacing w:before="200"/>
        <w:ind w:left="708"/>
        <w:jc w:val="right"/>
        <w:rPr>
          <w:rFonts w:ascii="Times New Roman" w:hAnsi="Times New Roman"/>
          <w:sz w:val="28"/>
          <w:szCs w:val="28"/>
        </w:rPr>
      </w:pPr>
    </w:p>
    <w:p w:rsidR="00F954E2" w:rsidRPr="00CD0BA3" w:rsidRDefault="00F954E2" w:rsidP="006B6A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D0BA3">
        <w:rPr>
          <w:rFonts w:ascii="Times New Roman" w:hAnsi="Times New Roman"/>
          <w:b/>
          <w:sz w:val="28"/>
          <w:szCs w:val="28"/>
        </w:rPr>
        <w:t>ПОЛОЖЕНИЕ</w:t>
      </w:r>
    </w:p>
    <w:p w:rsidR="00F954E2" w:rsidRPr="00CD0BA3" w:rsidRDefault="00F954E2" w:rsidP="00CD0BA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CD0BA3">
        <w:rPr>
          <w:rFonts w:ascii="Times New Roman" w:hAnsi="Times New Roman"/>
          <w:b/>
          <w:sz w:val="28"/>
          <w:szCs w:val="28"/>
        </w:rPr>
        <w:t>об установлении систем оплаты труда работников муниципальных бюджетных, автономных и казенных учреждений Верхнебуреинского муниципального района</w:t>
      </w:r>
    </w:p>
    <w:p w:rsidR="00F954E2" w:rsidRPr="00CD0BA3" w:rsidRDefault="00F954E2" w:rsidP="00CD0BA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954E2" w:rsidRPr="00CD0BA3" w:rsidRDefault="00F954E2" w:rsidP="00CD0BA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Системы оплаты труда работников муниципальных бюджетных,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автономных и казенных учреждений Верхнебуреинского муниципального района (далее – работники), которые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Хабаровского края и Верхнебуреинского района (далее также – район), а также настоящим Положением.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Системы оплаты труда работников муниципальных учреждений устанавливаются с учетом: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государственных гарантий по оплате труда;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минимальных окладов (минимальных должностных окладов), минимальных ставок заработной платы по профессиональным квалификационным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группам;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перечня видов выплат компенсационного характера в муниципальных учреждениях района;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перечня видов выплат стимулирующего характера в муниципальных учреждениях района;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рекомендаций Российской трехсторонней комиссии по регулированию социально-трудовых отношений;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мнения представительного органа работников.</w:t>
      </w:r>
    </w:p>
    <w:p w:rsidR="00F954E2" w:rsidRPr="009F41B7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F01F7">
        <w:rPr>
          <w:rFonts w:ascii="Times New Roman" w:hAnsi="Times New Roman"/>
          <w:color w:val="000000"/>
          <w:sz w:val="28"/>
          <w:szCs w:val="28"/>
        </w:rPr>
        <w:t>Системы оплаты труда работников муниципальных бюджетных и автономных учреждений района устанавливаются с учетом примерных положений об оплате труда работников подведомственных бюджетных и (или) автономных учреждений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по видам экономической деятельности</w:t>
      </w:r>
      <w:r w:rsidRPr="001F01F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утверждаемых</w:t>
      </w:r>
      <w:r w:rsidRPr="001F01F7">
        <w:rPr>
          <w:rFonts w:ascii="Times New Roman" w:hAnsi="Times New Roman"/>
          <w:color w:val="000000"/>
          <w:sz w:val="28"/>
          <w:szCs w:val="28"/>
        </w:rPr>
        <w:t xml:space="preserve"> главными распорядителями средств районного бюджета,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осуществляющими функции и полномочия учредителя муниципальных бюджетных и автономных </w:t>
      </w:r>
      <w:r w:rsidRPr="001F01F7">
        <w:rPr>
          <w:rFonts w:ascii="Times New Roman" w:hAnsi="Times New Roman"/>
          <w:color w:val="000000"/>
          <w:sz w:val="28"/>
          <w:szCs w:val="28"/>
        </w:rPr>
        <w:t>учреждени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1F01F7">
        <w:rPr>
          <w:rFonts w:ascii="Times New Roman" w:hAnsi="Times New Roman"/>
          <w:color w:val="000000"/>
          <w:sz w:val="28"/>
          <w:szCs w:val="28"/>
        </w:rPr>
        <w:t>района. Указанные примерные положения носят для муниципальных бюджетных и автономных учреждений края рекомендательный характер.</w:t>
      </w:r>
    </w:p>
    <w:p w:rsidR="00F954E2" w:rsidRPr="007E2D29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2D29">
        <w:rPr>
          <w:rFonts w:ascii="Times New Roman" w:hAnsi="Times New Roman"/>
          <w:color w:val="000000"/>
          <w:sz w:val="28"/>
          <w:szCs w:val="28"/>
        </w:rPr>
        <w:t xml:space="preserve">Системы оплаты труда работников муниципальных казенных учреждений района устанавливаются положениями об оплате труда работников подведомственных муниципальных казенных учреждений района по видам экономической деятельности главными распорядителями средств районного бюджета, </w:t>
      </w:r>
      <w:r>
        <w:rPr>
          <w:rFonts w:ascii="Times New Roman" w:hAnsi="Times New Roman"/>
          <w:color w:val="000000"/>
          <w:sz w:val="28"/>
          <w:szCs w:val="28"/>
        </w:rPr>
        <w:t>осуществляющими функции и полномочия учредителя муниципальных казенных учреждений района</w:t>
      </w:r>
      <w:r w:rsidRPr="007E2D29">
        <w:rPr>
          <w:rFonts w:ascii="Times New Roman" w:hAnsi="Times New Roman"/>
          <w:color w:val="000000"/>
          <w:sz w:val="28"/>
          <w:szCs w:val="28"/>
        </w:rPr>
        <w:t>. Указанные положения носят для муниципальных казенных учреждений района обязательный характер и предусматривают размеры окладов (должностных окладов), ставок заработной платы по соответствующим должностям и профессиям (группам должностей и профессий).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>Главные распорядители средств районного бюджета, осуществляющие функции и полномочия учредителя муниципальных учреждений района, при утверждении по видам экономической деятельности положений (примерных положений) об оплате труда работников подведомственных муниципальных учреждений района, осуществляющих исполнение муниципальных функций, наделенных в случаях, предусмотренных федеральными законами и правовыми актами администрации Верхнебуреинского муниципального района, полномочиями по осуществлению муниципальных функций, возложенных на структурные подразделения администрации, а также обеспечивающих деятельность указанных органов местного самоуправления (административно-хозяйственное, информационно-техническое и кадровое обеспечение, делопроизводство, бухгалтерский учет и отчетность) предусматривают условие о не превышении расчетного среднемесячного уровня заработной платы работников указанных муниципальных учреждений района над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службы, указанных органов местного самоуправления.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утверждении положений (примерных положений) об оплате труда работников муниципальных учреждений, функции и полномочия учредителя которых осуществляет администрация Верхнебуреинского муниципального района, предусматривается условие о не превышении расчетного среднемесячного уровня заработной платы работников указанных муниципальных учреждений над расчетным среднемесячным уровнем оплаты труда муниципальных служащих и работников, не являющиеся должностями муниципальной службы: </w:t>
      </w:r>
    </w:p>
    <w:p w:rsidR="00F954E2" w:rsidRPr="00BB48B0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замещающих должности </w:t>
      </w:r>
      <w:r w:rsidRPr="00414FA3">
        <w:rPr>
          <w:rFonts w:ascii="Times New Roman" w:hAnsi="Times New Roman"/>
          <w:color w:val="000000"/>
          <w:sz w:val="28"/>
          <w:szCs w:val="28"/>
        </w:rPr>
        <w:t xml:space="preserve">органа местного самоуправления, осуществляющего функции и полномочия учредителя таких муниципальных учреждений по </w:t>
      </w:r>
      <w:r w:rsidRPr="00BB48B0">
        <w:rPr>
          <w:rFonts w:ascii="Times New Roman" w:hAnsi="Times New Roman"/>
          <w:color w:val="000000"/>
          <w:sz w:val="28"/>
          <w:szCs w:val="28"/>
        </w:rPr>
        <w:t xml:space="preserve">формированию муниципального задания на оказание муниципальных услуг (выполнение работ) в соответствии с основными видами деятельности муниципальных учреждений Верхнебуреинского района; </w:t>
      </w:r>
    </w:p>
    <w:p w:rsidR="00F954E2" w:rsidRPr="00BB48B0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B48B0">
        <w:rPr>
          <w:rFonts w:ascii="Times New Roman" w:hAnsi="Times New Roman"/>
          <w:color w:val="000000"/>
          <w:sz w:val="28"/>
          <w:szCs w:val="28"/>
        </w:rPr>
        <w:t xml:space="preserve">аппарата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B48B0">
        <w:rPr>
          <w:rFonts w:ascii="Times New Roman" w:hAnsi="Times New Roman"/>
          <w:color w:val="000000"/>
          <w:sz w:val="28"/>
          <w:szCs w:val="28"/>
        </w:rPr>
        <w:t xml:space="preserve">дминистрации Верхнебуреинского муниципального района в отношении учреждений, осуществляющих деятельность на основании </w:t>
      </w:r>
      <w:r w:rsidRPr="00EB51BB">
        <w:rPr>
          <w:rFonts w:ascii="Times New Roman" w:hAnsi="Times New Roman"/>
          <w:color w:val="000000"/>
          <w:sz w:val="28"/>
          <w:szCs w:val="28"/>
        </w:rPr>
        <w:t xml:space="preserve">бюджетной сметы, доведенной </w:t>
      </w:r>
      <w:r w:rsidRPr="00BB48B0">
        <w:rPr>
          <w:rFonts w:ascii="Times New Roman" w:hAnsi="Times New Roman"/>
          <w:color w:val="000000"/>
          <w:sz w:val="28"/>
          <w:szCs w:val="28"/>
        </w:rPr>
        <w:t xml:space="preserve">отделом бухгалтерского учета и отчетности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B48B0">
        <w:rPr>
          <w:rFonts w:ascii="Times New Roman" w:hAnsi="Times New Roman"/>
          <w:color w:val="000000"/>
          <w:sz w:val="28"/>
          <w:szCs w:val="28"/>
        </w:rPr>
        <w:t>дминистрации Верхнебуреинского муниципального района.</w:t>
      </w:r>
    </w:p>
    <w:p w:rsidR="00F954E2" w:rsidRPr="00EB51B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51BB">
        <w:rPr>
          <w:rFonts w:ascii="Times New Roman" w:hAnsi="Times New Roman"/>
          <w:color w:val="000000"/>
          <w:sz w:val="28"/>
          <w:szCs w:val="28"/>
        </w:rPr>
        <w:t>В целях настоящего Положения расчетный среднемесячный уровень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>оплаты труда муниципальных служащих и работников,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>замещающих должности, не являющиеся должностями муниципальной службы, органа местного самоуправления определяется путем деления установленного объема бюджетных ассигнований на оплату труда муниципальных служащих и работников, замещающих должности, не являющиеся должностями муниципальной службы, органа местного самоуправления (без учета объема бюджетных ассигнований, предусматриваемых на финансовое обеспечение расходов,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местностях) на установленную численность муниципальных служащих и работников, замещающих должности, не являющиеся должностями муниципальной службы, органа местного самоуправления и деления полученного результата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 xml:space="preserve">12 (количество месяцев в году) и доводится органом местного самоуправления до руководителя подведомственного учреждения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B51BB">
        <w:rPr>
          <w:rFonts w:ascii="Times New Roman" w:hAnsi="Times New Roman"/>
          <w:color w:val="000000"/>
          <w:sz w:val="28"/>
          <w:szCs w:val="28"/>
        </w:rPr>
        <w:t>дминистрации Верхнебуреинского муниципального района, указанного в абзаце первом настоящего пункта.</w:t>
      </w:r>
    </w:p>
    <w:p w:rsidR="00F954E2" w:rsidRPr="00EB51B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51BB">
        <w:rPr>
          <w:rFonts w:ascii="Times New Roman" w:hAnsi="Times New Roman"/>
          <w:color w:val="000000"/>
          <w:sz w:val="28"/>
          <w:szCs w:val="28"/>
        </w:rPr>
        <w:t>Расчетный среднемесячный уровень заработной платы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 xml:space="preserve">подведомственного муниципального учреждения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B51BB">
        <w:rPr>
          <w:rFonts w:ascii="Times New Roman" w:hAnsi="Times New Roman"/>
          <w:color w:val="000000"/>
          <w:sz w:val="28"/>
          <w:szCs w:val="28"/>
        </w:rPr>
        <w:t>дминистрации Верхнебуреинского муниципального района, указанного в абзаце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 xml:space="preserve">первом настоящего пункта, определяется путем деления установленного объема бюджетных ассигнований на оплату труда работников подведомственного муниципального учреждения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B51BB">
        <w:rPr>
          <w:rFonts w:ascii="Times New Roman" w:hAnsi="Times New Roman"/>
          <w:color w:val="000000"/>
          <w:sz w:val="28"/>
          <w:szCs w:val="28"/>
        </w:rPr>
        <w:t>дминистрации Верхнебуреинского муниципального района (без учета объема бюджетных ассигнований, предусматриваемых на финансовое обеспечение расходов, связанных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>с выплатой районных коэффициентов и процентных надбавок к заработной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>плате за стаж работы в районах Крайнего Севера и приравненных к 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>местностях, а также объема бюджетных ассигнований, предусматриваемых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 xml:space="preserve">на оплату труда работников подведомственного учреждения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B51BB">
        <w:rPr>
          <w:rFonts w:ascii="Times New Roman" w:hAnsi="Times New Roman"/>
          <w:color w:val="000000"/>
          <w:sz w:val="28"/>
          <w:szCs w:val="28"/>
        </w:rPr>
        <w:t>дминистрации Верхнебуреинского муниципального района, в отношении которых действующим законодательством установлены специальные требования к уровню оплаты их труда) на численность работников подведомственного муниципального учреждения  в соответствии с утвержденным штатным расписанием (без учета численности работников, в отношении которых установлены специальные требования к уровню оплаты их труда) и деления полученного результата на 12 (количество месяцев в году).</w:t>
      </w:r>
    </w:p>
    <w:p w:rsidR="00F954E2" w:rsidRPr="00EB51B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51BB">
        <w:rPr>
          <w:rFonts w:ascii="Times New Roman" w:hAnsi="Times New Roman"/>
          <w:color w:val="000000"/>
          <w:sz w:val="28"/>
          <w:szCs w:val="28"/>
        </w:rPr>
        <w:t>Сопоставление расчетного среднемесячного уровня заработной 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>работников подведомственных муниципальных учреждений, указанных в абзаце первом настоящего пункта, осуществляется с расчетным среднемесячным уровнем оплаты труда муниципальных служащих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>и работников, замещающих должности, не являющиеся должностями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службы</w:t>
      </w:r>
      <w:r w:rsidRPr="00EB51BB">
        <w:rPr>
          <w:rFonts w:ascii="Times New Roman" w:hAnsi="Times New Roman"/>
          <w:color w:val="000000"/>
          <w:sz w:val="28"/>
          <w:szCs w:val="28"/>
        </w:rPr>
        <w:t>.</w:t>
      </w:r>
    </w:p>
    <w:p w:rsidR="00F954E2" w:rsidRPr="00EB51B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51BB">
        <w:rPr>
          <w:rFonts w:ascii="Times New Roman" w:hAnsi="Times New Roman"/>
          <w:color w:val="000000"/>
          <w:sz w:val="28"/>
          <w:szCs w:val="28"/>
        </w:rPr>
        <w:t>5. Размеры окладов (должностных окладов), ставок заработной 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>работникам муниципальных учреждений устанавливаются в соответствии с пунктами 3, 4 настоящего Положения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F954E2" w:rsidRPr="00EB51B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51BB">
        <w:rPr>
          <w:rFonts w:ascii="Times New Roman" w:hAnsi="Times New Roman"/>
          <w:color w:val="000000"/>
          <w:sz w:val="28"/>
          <w:szCs w:val="28"/>
        </w:rPr>
        <w:t>Выплаты компенсационного характера устанавливаются в соответствии с пунктами 3, 4 настоящего Положения к окладам (должностным окладам), ставкам заработной платы работников муниципальных 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EB51BB">
        <w:rPr>
          <w:rFonts w:ascii="Times New Roman" w:hAnsi="Times New Roman"/>
          <w:color w:val="000000"/>
          <w:sz w:val="28"/>
          <w:szCs w:val="28"/>
        </w:rPr>
        <w:t xml:space="preserve"> по соответствующим профессиональным квалификационным группам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>процентах к окладам (должностным окладам), ставкам заработной платы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 xml:space="preserve">в абсолютных размерах, если иное не установлено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B51BB">
        <w:rPr>
          <w:rFonts w:ascii="Times New Roman" w:hAnsi="Times New Roman"/>
          <w:color w:val="000000"/>
          <w:sz w:val="28"/>
          <w:szCs w:val="28"/>
        </w:rPr>
        <w:t>дминистрации Верхнебуреинского муниципального района.</w:t>
      </w:r>
    </w:p>
    <w:p w:rsidR="00F954E2" w:rsidRPr="005C2C49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color w:val="92D050"/>
          <w:sz w:val="28"/>
          <w:szCs w:val="28"/>
        </w:rPr>
      </w:pPr>
      <w:r w:rsidRPr="00EB51BB">
        <w:rPr>
          <w:rFonts w:ascii="Times New Roman" w:hAnsi="Times New Roman"/>
          <w:color w:val="000000"/>
          <w:sz w:val="28"/>
          <w:szCs w:val="28"/>
        </w:rPr>
        <w:t>Размеры и условия осуществления выплат стимулирующего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 xml:space="preserve">для всех категорий работников муниципальных учреждений района устанавливаются в соответствии с пунктами 3, 4 настоящего Положения коллективными договорами, соглашениями, локальными нормативными актами, трудовыми </w:t>
      </w:r>
      <w:r w:rsidRPr="00BB48B0">
        <w:rPr>
          <w:rFonts w:ascii="Times New Roman" w:hAnsi="Times New Roman"/>
          <w:color w:val="000000"/>
          <w:sz w:val="28"/>
          <w:szCs w:val="28"/>
        </w:rPr>
        <w:t>договорами с учетом мнения представительного органа работников (при наличии такого представительного органа) на основе формализованных показателей и критериев оценки эффективности работы.</w:t>
      </w:r>
    </w:p>
    <w:p w:rsidR="00F954E2" w:rsidRPr="00E71FF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51BB">
        <w:rPr>
          <w:rFonts w:ascii="Times New Roman" w:hAnsi="Times New Roman"/>
          <w:color w:val="000000"/>
          <w:sz w:val="28"/>
          <w:szCs w:val="28"/>
        </w:rPr>
        <w:t>Показатели и критерии оценки эффективности работы разрабатываются с учетом принципов объективности, пред</w:t>
      </w:r>
      <w:r>
        <w:rPr>
          <w:rFonts w:ascii="Times New Roman" w:hAnsi="Times New Roman"/>
          <w:color w:val="000000"/>
          <w:sz w:val="28"/>
          <w:szCs w:val="28"/>
        </w:rPr>
        <w:t>сказуемости, адекватности, свое</w:t>
      </w:r>
      <w:r w:rsidRPr="00EB51BB">
        <w:rPr>
          <w:rFonts w:ascii="Times New Roman" w:hAnsi="Times New Roman"/>
          <w:color w:val="000000"/>
          <w:sz w:val="28"/>
          <w:szCs w:val="28"/>
        </w:rPr>
        <w:t>временности, прозрачности и должны учитывать необходимость выполнения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1BB">
        <w:rPr>
          <w:rFonts w:ascii="Times New Roman" w:hAnsi="Times New Roman"/>
          <w:color w:val="000000"/>
          <w:sz w:val="28"/>
          <w:szCs w:val="28"/>
        </w:rPr>
        <w:t xml:space="preserve">целевых показателей эффективности деятельности муниципального учреждения района в части оказания </w:t>
      </w:r>
      <w:r w:rsidRPr="001E7904">
        <w:rPr>
          <w:rFonts w:ascii="Times New Roman" w:hAnsi="Times New Roman"/>
          <w:color w:val="000000"/>
          <w:sz w:val="28"/>
          <w:szCs w:val="28"/>
        </w:rPr>
        <w:t xml:space="preserve">муниципальных услуг (выполнения работ), а </w:t>
      </w:r>
      <w:r w:rsidRPr="00E71FFB">
        <w:rPr>
          <w:rFonts w:ascii="Times New Roman" w:hAnsi="Times New Roman"/>
          <w:color w:val="000000"/>
          <w:sz w:val="28"/>
          <w:szCs w:val="28"/>
        </w:rPr>
        <w:t>также необходимость достижения иных целевых показателей и критериев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>оценки эффективности работы.</w:t>
      </w:r>
    </w:p>
    <w:p w:rsidR="00F954E2" w:rsidRPr="00E71FF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1FFB">
        <w:rPr>
          <w:rFonts w:ascii="Times New Roman" w:hAnsi="Times New Roman"/>
          <w:color w:val="000000"/>
          <w:sz w:val="28"/>
          <w:szCs w:val="28"/>
        </w:rPr>
        <w:t>Условия оплаты труда работников муниципальных учреждений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>устанавливаются в трудовом договоре, заключаемом в соответствии с действующим законодательством.</w:t>
      </w:r>
    </w:p>
    <w:p w:rsidR="00F954E2" w:rsidRPr="00E71FFB" w:rsidRDefault="00F954E2" w:rsidP="00CA1A0F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E71FFB">
        <w:rPr>
          <w:rFonts w:ascii="Times New Roman" w:hAnsi="Times New Roman"/>
          <w:color w:val="000000"/>
          <w:sz w:val="28"/>
          <w:szCs w:val="28"/>
        </w:rPr>
        <w:t>Заработная плата руководителей муниципальных учреждений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>их заместителей и главных бухгалтеров состоит из должностного оклада, выплат компенсационного и стимулирующего характера.</w:t>
      </w:r>
    </w:p>
    <w:p w:rsidR="00F954E2" w:rsidRPr="00E71FF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1FFB">
        <w:rPr>
          <w:rFonts w:ascii="Times New Roman" w:hAnsi="Times New Roman"/>
          <w:color w:val="000000"/>
          <w:sz w:val="28"/>
          <w:szCs w:val="28"/>
        </w:rPr>
        <w:t xml:space="preserve">Размер должностного оклада руководителя муниципального </w:t>
      </w:r>
      <w:r>
        <w:rPr>
          <w:rFonts w:ascii="Times New Roman" w:hAnsi="Times New Roman"/>
          <w:color w:val="000000"/>
          <w:sz w:val="28"/>
          <w:szCs w:val="28"/>
        </w:rPr>
        <w:t>учрежде</w:t>
      </w:r>
      <w:r w:rsidRPr="00E71FFB">
        <w:rPr>
          <w:rFonts w:ascii="Times New Roman" w:hAnsi="Times New Roman"/>
          <w:color w:val="000000"/>
          <w:sz w:val="28"/>
          <w:szCs w:val="28"/>
        </w:rPr>
        <w:t>ния района определяется трудовым договором в зависимости от сложности труда, в том числе с учетом масштаба управления, особенностей деятельности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>значимости муниципального учреждения района.</w:t>
      </w:r>
    </w:p>
    <w:p w:rsidR="00F954E2" w:rsidRPr="00E71FF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1FFB">
        <w:rPr>
          <w:rFonts w:ascii="Times New Roman" w:hAnsi="Times New Roman"/>
          <w:color w:val="000000"/>
          <w:sz w:val="28"/>
          <w:szCs w:val="28"/>
        </w:rPr>
        <w:t>Должностные оклады заместителей руководителей и главных бухгалтеров муниципальных учреждений района устанавливаются на 10 – 30 процентов ниже должностных окладов руководителей этих муниципальных учреждений района.</w:t>
      </w:r>
    </w:p>
    <w:p w:rsidR="00F954E2" w:rsidRPr="00E71FFB" w:rsidRDefault="00F954E2" w:rsidP="00CA1A0F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1FFB">
        <w:rPr>
          <w:rFonts w:ascii="Times New Roman" w:hAnsi="Times New Roman"/>
          <w:color w:val="000000"/>
          <w:sz w:val="28"/>
          <w:szCs w:val="28"/>
        </w:rPr>
        <w:t>Выплаты компенсационного характера устанавливаются для руководителей муниципальных учреждений района, их заместителей и главных бухгалтеров к должностным окладам в процентах или в абсолютных размерах, 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 xml:space="preserve">иное не установлено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E71FFB">
        <w:rPr>
          <w:rFonts w:ascii="Times New Roman" w:hAnsi="Times New Roman"/>
          <w:color w:val="000000"/>
          <w:sz w:val="28"/>
          <w:szCs w:val="28"/>
        </w:rPr>
        <w:t>ормативными правовыми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 xml:space="preserve">актами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71FFB">
        <w:rPr>
          <w:rFonts w:ascii="Times New Roman" w:hAnsi="Times New Roman"/>
          <w:color w:val="000000"/>
          <w:sz w:val="28"/>
          <w:szCs w:val="28"/>
        </w:rPr>
        <w:t>дминистрации Верхнебуреинского муниципального района, в соответствии с перечнем видов выплат компенсационного характера в муниципальных учреждениях района, утверждаемым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>с подпунктом 4 пункта 2 настоящего Положения.</w:t>
      </w:r>
    </w:p>
    <w:p w:rsidR="00F954E2" w:rsidRPr="00E71FF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1FFB">
        <w:rPr>
          <w:rFonts w:ascii="Times New Roman" w:hAnsi="Times New Roman"/>
          <w:color w:val="000000"/>
          <w:sz w:val="28"/>
          <w:szCs w:val="28"/>
        </w:rPr>
        <w:t xml:space="preserve">Выплаты стимулирующего характера устанавливаются для заместителей руководителей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E71FFB">
        <w:rPr>
          <w:rFonts w:ascii="Times New Roman" w:hAnsi="Times New Roman"/>
          <w:color w:val="000000"/>
          <w:sz w:val="28"/>
          <w:szCs w:val="28"/>
        </w:rPr>
        <w:t xml:space="preserve">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E71FFB">
        <w:rPr>
          <w:rFonts w:ascii="Times New Roman" w:hAnsi="Times New Roman"/>
          <w:color w:val="000000"/>
          <w:sz w:val="28"/>
          <w:szCs w:val="28"/>
        </w:rPr>
        <w:t>и главных бухгалтеров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>к должностным окладам в процентах или в абсолютных размерах, если иное</w:t>
      </w:r>
      <w:r>
        <w:rPr>
          <w:rFonts w:ascii="Times New Roman" w:hAnsi="Times New Roman"/>
          <w:color w:val="000000"/>
          <w:sz w:val="28"/>
          <w:szCs w:val="28"/>
        </w:rPr>
        <w:t xml:space="preserve"> не установлено </w:t>
      </w:r>
      <w:r w:rsidRPr="00E71FFB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 Верхнебуреинского муниципального района, в соответствии с перечнем видов выплат стимулирующего характера в муниципальных учреждениях района, утверждаемым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>подпунктом 5 пункта 2 настоящего Положения.</w:t>
      </w:r>
    </w:p>
    <w:p w:rsidR="00F954E2" w:rsidRPr="00E71FFB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1FFB">
        <w:rPr>
          <w:rFonts w:ascii="Times New Roman" w:hAnsi="Times New Roman"/>
          <w:color w:val="000000"/>
          <w:sz w:val="28"/>
          <w:szCs w:val="28"/>
        </w:rPr>
        <w:t>Руководителям муниципальных учреждений района выплаты стимулирующего характера устанавливаются главными распорядители средств районного бюджета, осуществляющими функции и полномочия учредителя муниципальных учреждений района, по результатам достижения утвержденных ими показателей эффективности деятельности муниципального учреждения района и работы его руководителя за соответствующий период.</w:t>
      </w:r>
    </w:p>
    <w:p w:rsidR="00F954E2" w:rsidRPr="001E7904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E7904">
        <w:rPr>
          <w:rFonts w:ascii="Times New Roman" w:hAnsi="Times New Roman"/>
          <w:color w:val="000000"/>
          <w:sz w:val="28"/>
          <w:szCs w:val="28"/>
        </w:rPr>
        <w:t>В качестве показателя эффективности работы руководителей муниципальных учреждений района в обязательном порядке устанавливается выполнение квоты по приему на работу инвалидов (в соответствии с законодательством Российской Федерации).</w:t>
      </w:r>
    </w:p>
    <w:p w:rsidR="00F954E2" w:rsidRDefault="00F954E2" w:rsidP="00CA1A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1FFB">
        <w:rPr>
          <w:rFonts w:ascii="Times New Roman" w:hAnsi="Times New Roman"/>
          <w:color w:val="000000"/>
          <w:sz w:val="28"/>
          <w:szCs w:val="28"/>
        </w:rPr>
        <w:t>При оценке эффективности работы руководителей муницип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71FFB">
        <w:rPr>
          <w:rFonts w:ascii="Times New Roman" w:hAnsi="Times New Roman"/>
          <w:color w:val="000000"/>
          <w:sz w:val="28"/>
          <w:szCs w:val="28"/>
        </w:rPr>
        <w:t>льных учреждений района могут учитываться: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54E2" w:rsidRPr="001E7904" w:rsidRDefault="00F954E2" w:rsidP="00CA1A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1FFB">
        <w:rPr>
          <w:rFonts w:ascii="Times New Roman" w:hAnsi="Times New Roman"/>
          <w:color w:val="000000"/>
          <w:sz w:val="28"/>
          <w:szCs w:val="28"/>
        </w:rPr>
        <w:t>рост средней заработной платы работников муниципального учреждения района в отчетном году по сравнению с предшествующим годом без учета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>повышения</w:t>
      </w:r>
      <w:r w:rsidRPr="0016623F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1E7904">
        <w:rPr>
          <w:rFonts w:ascii="Times New Roman" w:hAnsi="Times New Roman"/>
          <w:color w:val="000000"/>
          <w:sz w:val="28"/>
          <w:szCs w:val="28"/>
        </w:rPr>
        <w:t xml:space="preserve">размера заработной платы в соответствии с решениями </w:t>
      </w: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  <w:r w:rsidRPr="001E7904">
        <w:rPr>
          <w:rFonts w:ascii="Times New Roman" w:hAnsi="Times New Roman"/>
          <w:color w:val="000000"/>
          <w:sz w:val="28"/>
          <w:szCs w:val="28"/>
        </w:rPr>
        <w:t>;</w:t>
      </w:r>
    </w:p>
    <w:p w:rsidR="00F954E2" w:rsidRPr="0022373A" w:rsidRDefault="00F954E2" w:rsidP="00CA1A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1FFB">
        <w:rPr>
          <w:rFonts w:ascii="Times New Roman" w:hAnsi="Times New Roman"/>
          <w:color w:val="000000"/>
          <w:sz w:val="28"/>
          <w:szCs w:val="28"/>
        </w:rPr>
        <w:t>показатели, достигнутые по результатам независимой оценки 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FFB">
        <w:rPr>
          <w:rFonts w:ascii="Times New Roman" w:hAnsi="Times New Roman"/>
          <w:color w:val="000000"/>
          <w:sz w:val="28"/>
          <w:szCs w:val="28"/>
        </w:rPr>
        <w:t xml:space="preserve">условий оказания услуг </w:t>
      </w:r>
      <w:r w:rsidRPr="0022373A">
        <w:rPr>
          <w:rFonts w:ascii="Times New Roman" w:hAnsi="Times New Roman"/>
          <w:color w:val="000000"/>
          <w:sz w:val="28"/>
          <w:szCs w:val="28"/>
        </w:rPr>
        <w:t>муниципальными учреждениями района (в 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373A">
        <w:rPr>
          <w:rFonts w:ascii="Times New Roman" w:hAnsi="Times New Roman"/>
          <w:color w:val="000000"/>
          <w:sz w:val="28"/>
          <w:szCs w:val="28"/>
        </w:rPr>
        <w:t>проведения такой оценки);</w:t>
      </w:r>
    </w:p>
    <w:p w:rsidR="00F954E2" w:rsidRPr="000B3B56" w:rsidRDefault="00F954E2" w:rsidP="00CA1A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B3B56">
        <w:rPr>
          <w:rFonts w:ascii="Times New Roman" w:hAnsi="Times New Roman"/>
          <w:color w:val="000000"/>
          <w:sz w:val="28"/>
          <w:szCs w:val="28"/>
        </w:rPr>
        <w:t>показатели, достигнутые по резуль</w:t>
      </w:r>
      <w:r>
        <w:rPr>
          <w:rFonts w:ascii="Times New Roman" w:hAnsi="Times New Roman"/>
          <w:color w:val="000000"/>
          <w:sz w:val="28"/>
          <w:szCs w:val="28"/>
        </w:rPr>
        <w:t>татам выполнения плана по устра</w:t>
      </w:r>
      <w:r w:rsidRPr="000B3B56">
        <w:rPr>
          <w:rFonts w:ascii="Times New Roman" w:hAnsi="Times New Roman"/>
          <w:color w:val="000000"/>
          <w:sz w:val="28"/>
          <w:szCs w:val="28"/>
        </w:rPr>
        <w:t>нению недостатков, выявленных в ходе проведения независимой оценки качества условий оказания услуг муниципальными учреждениями района, в рамках компетенции руководителей (в случае проведения такой оценки);</w:t>
      </w:r>
    </w:p>
    <w:p w:rsidR="00F954E2" w:rsidRPr="000B3B56" w:rsidRDefault="00F954E2" w:rsidP="00CA1A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B3B56">
        <w:rPr>
          <w:rFonts w:ascii="Times New Roman" w:hAnsi="Times New Roman"/>
          <w:color w:val="000000"/>
          <w:sz w:val="28"/>
          <w:szCs w:val="28"/>
        </w:rPr>
        <w:t xml:space="preserve">предложения, рекомендации и выводы, содержащиеся в итоговых документах, подготовленных по результатам общественного контроля в соответствии с Федеральным законом от 21 июля 2014 г. </w:t>
      </w:r>
      <w:r>
        <w:rPr>
          <w:rFonts w:ascii="Times New Roman" w:hAnsi="Times New Roman"/>
          <w:color w:val="000000"/>
          <w:sz w:val="28"/>
          <w:szCs w:val="28"/>
        </w:rPr>
        <w:t xml:space="preserve">№  </w:t>
      </w:r>
      <w:r w:rsidRPr="000B3B56">
        <w:rPr>
          <w:rFonts w:ascii="Times New Roman" w:hAnsi="Times New Roman"/>
          <w:color w:val="000000"/>
          <w:sz w:val="28"/>
          <w:szCs w:val="28"/>
        </w:rPr>
        <w:t xml:space="preserve"> 212-ФЗ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B3B56">
        <w:rPr>
          <w:rFonts w:ascii="Times New Roman" w:hAnsi="Times New Roman"/>
          <w:color w:val="000000"/>
          <w:sz w:val="28"/>
          <w:szCs w:val="28"/>
        </w:rPr>
        <w:t>Об основах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B56">
        <w:rPr>
          <w:rFonts w:ascii="Times New Roman" w:hAnsi="Times New Roman"/>
          <w:color w:val="000000"/>
          <w:sz w:val="28"/>
          <w:szCs w:val="28"/>
        </w:rPr>
        <w:t xml:space="preserve">общественного </w:t>
      </w:r>
      <w:r>
        <w:rPr>
          <w:rFonts w:ascii="Times New Roman" w:hAnsi="Times New Roman"/>
          <w:color w:val="000000"/>
          <w:sz w:val="28"/>
          <w:szCs w:val="28"/>
        </w:rPr>
        <w:t>контроля в Российской Федерации»</w:t>
      </w:r>
      <w:r w:rsidRPr="000B3B56">
        <w:rPr>
          <w:rFonts w:ascii="Times New Roman" w:hAnsi="Times New Roman"/>
          <w:color w:val="000000"/>
          <w:sz w:val="28"/>
          <w:szCs w:val="28"/>
        </w:rPr>
        <w:t xml:space="preserve"> и утвержденным постановлением Администрации района от 05 июля 2016 г.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0B3B56">
        <w:rPr>
          <w:rFonts w:ascii="Times New Roman" w:hAnsi="Times New Roman"/>
          <w:color w:val="000000"/>
          <w:sz w:val="28"/>
          <w:szCs w:val="28"/>
        </w:rPr>
        <w:t>450 «Положением об общественном контроле в Верхнебуреинском муниципальном районе Хабаровского края».</w:t>
      </w:r>
    </w:p>
    <w:p w:rsidR="00F954E2" w:rsidRPr="00D76413" w:rsidRDefault="00F954E2" w:rsidP="00CA1A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76413">
        <w:rPr>
          <w:rFonts w:ascii="Times New Roman" w:hAnsi="Times New Roman"/>
          <w:color w:val="000000"/>
          <w:sz w:val="28"/>
          <w:szCs w:val="28"/>
        </w:rPr>
        <w:t>Руководителю муниципального учреждения района выплаты стимулирующего характера производятся по решению главного распорядители средств районного бюджета, осуществляющего функции и полномочия учредителя муниципального учреждения района, с учетом оценки выполнения муниципального з</w:t>
      </w:r>
      <w:r>
        <w:rPr>
          <w:rFonts w:ascii="Times New Roman" w:hAnsi="Times New Roman"/>
          <w:color w:val="000000"/>
          <w:sz w:val="28"/>
          <w:szCs w:val="28"/>
        </w:rPr>
        <w:t>адания</w:t>
      </w:r>
      <w:r w:rsidRPr="00D76413">
        <w:rPr>
          <w:rFonts w:ascii="Times New Roman" w:hAnsi="Times New Roman"/>
          <w:color w:val="000000"/>
          <w:sz w:val="28"/>
          <w:szCs w:val="28"/>
        </w:rPr>
        <w:t>, а также иных показателей эффективности деятельности муниципального учреждения района и его руководителя.</w:t>
      </w:r>
    </w:p>
    <w:p w:rsidR="00F954E2" w:rsidRPr="001E7904" w:rsidRDefault="00F954E2" w:rsidP="00CA1A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76413">
        <w:rPr>
          <w:rFonts w:ascii="Times New Roman" w:hAnsi="Times New Roman"/>
          <w:color w:val="000000"/>
          <w:sz w:val="28"/>
          <w:szCs w:val="28"/>
        </w:rPr>
        <w:t>Условия оплаты труда руководителей муниципальных 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413">
        <w:rPr>
          <w:rFonts w:ascii="Times New Roman" w:hAnsi="Times New Roman"/>
          <w:color w:val="000000"/>
          <w:sz w:val="28"/>
          <w:szCs w:val="28"/>
        </w:rPr>
        <w:t>района определяются трудовым договором, заключаемым на основе типовой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04">
        <w:rPr>
          <w:rFonts w:ascii="Times New Roman" w:hAnsi="Times New Roman"/>
          <w:color w:val="000000"/>
          <w:sz w:val="28"/>
          <w:szCs w:val="28"/>
        </w:rPr>
        <w:t xml:space="preserve">формы трудового договора с руководителем </w:t>
      </w:r>
      <w:r>
        <w:rPr>
          <w:rFonts w:ascii="Times New Roman" w:hAnsi="Times New Roman"/>
          <w:color w:val="000000"/>
          <w:sz w:val="28"/>
          <w:szCs w:val="28"/>
        </w:rPr>
        <w:t>государственного (</w:t>
      </w:r>
      <w:r w:rsidRPr="001E7904">
        <w:rPr>
          <w:rFonts w:ascii="Times New Roman" w:hAnsi="Times New Roman"/>
          <w:color w:val="000000"/>
          <w:sz w:val="28"/>
          <w:szCs w:val="28"/>
        </w:rPr>
        <w:t>муниципального) учреждения, утвержденной постановлением Правительства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904">
        <w:rPr>
          <w:rFonts w:ascii="Times New Roman" w:hAnsi="Times New Roman"/>
          <w:color w:val="000000"/>
          <w:sz w:val="28"/>
          <w:szCs w:val="28"/>
        </w:rPr>
        <w:t>Федерации от 12 апреля 2013 г. № 329.</w:t>
      </w:r>
    </w:p>
    <w:p w:rsidR="00F954E2" w:rsidRPr="00073542" w:rsidRDefault="00F954E2" w:rsidP="00CA1A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4">
        <w:rPr>
          <w:rFonts w:ascii="Times New Roman" w:hAnsi="Times New Roman"/>
          <w:color w:val="000000"/>
          <w:sz w:val="28"/>
          <w:szCs w:val="28"/>
        </w:rPr>
        <w:t>Условия оплаты труда заместителей руководителей</w:t>
      </w:r>
      <w:r w:rsidRPr="00073542">
        <w:rPr>
          <w:rFonts w:ascii="Times New Roman" w:hAnsi="Times New Roman"/>
          <w:color w:val="000000"/>
          <w:sz w:val="28"/>
          <w:szCs w:val="28"/>
        </w:rPr>
        <w:t>, главных бухгалтеров муниципальных учреждений района определяются трудовыми договорами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542">
        <w:rPr>
          <w:rFonts w:ascii="Times New Roman" w:hAnsi="Times New Roman"/>
          <w:color w:val="000000"/>
          <w:sz w:val="28"/>
          <w:szCs w:val="28"/>
        </w:rPr>
        <w:t>в соответствии с коллективными договорами, локальными нормативными актами муниципальных учреждений района.</w:t>
      </w:r>
    </w:p>
    <w:p w:rsidR="00F954E2" w:rsidRDefault="00F954E2" w:rsidP="00CA1A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3542">
        <w:rPr>
          <w:rFonts w:ascii="Times New Roman" w:hAnsi="Times New Roman"/>
          <w:color w:val="000000"/>
          <w:sz w:val="28"/>
          <w:szCs w:val="28"/>
        </w:rPr>
        <w:t>Соотношение среднемесячной зар</w:t>
      </w:r>
      <w:r>
        <w:rPr>
          <w:rFonts w:ascii="Times New Roman" w:hAnsi="Times New Roman"/>
          <w:color w:val="000000"/>
          <w:sz w:val="28"/>
          <w:szCs w:val="28"/>
        </w:rPr>
        <w:t xml:space="preserve">аботной платы руководителей, их </w:t>
      </w:r>
      <w:r w:rsidRPr="00073542">
        <w:rPr>
          <w:rFonts w:ascii="Times New Roman" w:hAnsi="Times New Roman"/>
          <w:color w:val="000000"/>
          <w:sz w:val="28"/>
          <w:szCs w:val="28"/>
        </w:rPr>
        <w:t>заместителей, главных бухгалтеров и среднемесячной заработной платы работников муниципальных учреждений района, формируемых за счет всех источников финансового обеспечения, рассчитывается за календарный год.</w:t>
      </w:r>
    </w:p>
    <w:p w:rsidR="00F954E2" w:rsidRPr="00073542" w:rsidRDefault="00F954E2" w:rsidP="00CA1A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3542">
        <w:rPr>
          <w:rFonts w:ascii="Times New Roman" w:hAnsi="Times New Roman"/>
          <w:color w:val="000000"/>
          <w:sz w:val="28"/>
          <w:szCs w:val="28"/>
        </w:rPr>
        <w:t>Опре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073542">
        <w:rPr>
          <w:rFonts w:ascii="Times New Roman" w:hAnsi="Times New Roman"/>
          <w:color w:val="000000"/>
          <w:sz w:val="28"/>
          <w:szCs w:val="28"/>
        </w:rPr>
        <w:t>еление размера среднемесячной заработной платы осуществляется в соответствии с порядком, утвержденным Правительством Российской Федерации от 24 декабря 2007 г. № 922 «Об особенностях порядка исчисления средней заработной платы».</w:t>
      </w:r>
    </w:p>
    <w:p w:rsidR="00F954E2" w:rsidRPr="001E7904" w:rsidRDefault="00F954E2" w:rsidP="00CA1A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3542">
        <w:rPr>
          <w:rFonts w:ascii="Times New Roman" w:hAnsi="Times New Roman"/>
          <w:color w:val="000000"/>
          <w:sz w:val="28"/>
          <w:szCs w:val="28"/>
        </w:rPr>
        <w:t>Предельный уровень соотношения среднемесячной заработной 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542">
        <w:rPr>
          <w:rFonts w:ascii="Times New Roman" w:hAnsi="Times New Roman"/>
          <w:color w:val="000000"/>
          <w:sz w:val="28"/>
          <w:szCs w:val="28"/>
        </w:rPr>
        <w:t>руководителей, их заместителей, главных бухгалтеров муниципальных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542">
        <w:rPr>
          <w:rFonts w:ascii="Times New Roman" w:hAnsi="Times New Roman"/>
          <w:color w:val="000000"/>
          <w:sz w:val="28"/>
          <w:szCs w:val="28"/>
        </w:rPr>
        <w:t xml:space="preserve">учреждений района и среднемесячной заработной платы работников этих муниципальных учреждений района (без учета заработной платы руководителя, заместителей руководителя, главного </w:t>
      </w:r>
      <w:r w:rsidRPr="001E7904">
        <w:rPr>
          <w:rFonts w:ascii="Times New Roman" w:hAnsi="Times New Roman"/>
          <w:color w:val="000000"/>
          <w:sz w:val="28"/>
          <w:szCs w:val="28"/>
        </w:rPr>
        <w:t xml:space="preserve">бухгалтера) определяется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E7904">
        <w:rPr>
          <w:rFonts w:ascii="Times New Roman" w:hAnsi="Times New Roman"/>
          <w:color w:val="000000"/>
          <w:sz w:val="28"/>
          <w:szCs w:val="28"/>
        </w:rPr>
        <w:t>дминистрации Верхнебуреинского муниципального района или главными распорядителями средств райо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1E7904">
        <w:rPr>
          <w:rFonts w:ascii="Times New Roman" w:hAnsi="Times New Roman"/>
          <w:color w:val="000000"/>
          <w:sz w:val="28"/>
          <w:szCs w:val="28"/>
        </w:rPr>
        <w:t xml:space="preserve">ного бюджета, введении которых находятся муниципальные учреждения района, в кратности от 1 до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E7904">
        <w:rPr>
          <w:rFonts w:ascii="Times New Roman" w:hAnsi="Times New Roman"/>
          <w:color w:val="000000"/>
          <w:sz w:val="28"/>
          <w:szCs w:val="28"/>
        </w:rPr>
        <w:t>.</w:t>
      </w:r>
    </w:p>
    <w:p w:rsidR="00F954E2" w:rsidRPr="002110A5" w:rsidRDefault="00F954E2" w:rsidP="00CA1A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73542">
        <w:rPr>
          <w:rFonts w:ascii="Times New Roman" w:hAnsi="Times New Roman"/>
          <w:color w:val="000000"/>
          <w:sz w:val="28"/>
          <w:szCs w:val="28"/>
        </w:rPr>
        <w:t>При установлении условий оплаты труда руководителям муниципальных учреждений района главные распорядители средств районного бюджета,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542">
        <w:rPr>
          <w:rFonts w:ascii="Times New Roman" w:hAnsi="Times New Roman"/>
          <w:color w:val="000000"/>
          <w:sz w:val="28"/>
          <w:szCs w:val="28"/>
        </w:rPr>
        <w:t xml:space="preserve">ведении которых находятся муниципальные учреждения района, должны исходить из необходимости обеспечения не превышения предельного уровня соотношения среднемесячной заработной платы, установленного в </w:t>
      </w:r>
      <w:r w:rsidRPr="002110A5">
        <w:rPr>
          <w:rFonts w:ascii="Times New Roman" w:hAnsi="Times New Roman"/>
          <w:color w:val="000000"/>
          <w:sz w:val="28"/>
          <w:szCs w:val="28"/>
        </w:rPr>
        <w:t xml:space="preserve">соответствии с абзацем </w:t>
      </w:r>
      <w:r>
        <w:rPr>
          <w:rFonts w:ascii="Times New Roman" w:hAnsi="Times New Roman"/>
          <w:color w:val="000000"/>
          <w:sz w:val="28"/>
          <w:szCs w:val="28"/>
        </w:rPr>
        <w:t>пятнадцатым</w:t>
      </w:r>
      <w:r w:rsidRPr="002110A5">
        <w:rPr>
          <w:rFonts w:ascii="Times New Roman" w:hAnsi="Times New Roman"/>
          <w:color w:val="000000"/>
          <w:sz w:val="28"/>
          <w:szCs w:val="28"/>
        </w:rPr>
        <w:t xml:space="preserve"> настоящего пункта, в 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0A5">
        <w:rPr>
          <w:rFonts w:ascii="Times New Roman" w:hAnsi="Times New Roman"/>
          <w:color w:val="000000"/>
          <w:sz w:val="28"/>
          <w:szCs w:val="28"/>
        </w:rPr>
        <w:t>выполнения всех показателей эффективности деятельности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0A5">
        <w:rPr>
          <w:rFonts w:ascii="Times New Roman" w:hAnsi="Times New Roman"/>
          <w:color w:val="000000"/>
          <w:sz w:val="28"/>
          <w:szCs w:val="28"/>
        </w:rPr>
        <w:t>учреждения района и работы его руководителя и получения выплат стимулирующего характера в максимальном размере.</w:t>
      </w:r>
    </w:p>
    <w:p w:rsidR="00F954E2" w:rsidRPr="001E7904" w:rsidRDefault="00F954E2" w:rsidP="00CD0BA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4">
        <w:rPr>
          <w:rFonts w:ascii="Times New Roman" w:hAnsi="Times New Roman"/>
          <w:color w:val="000000"/>
          <w:sz w:val="28"/>
          <w:szCs w:val="28"/>
        </w:rPr>
        <w:t xml:space="preserve">Оплата труда руководителей муниципальных учреждений района, функции и полномочия учредителя которых осуществляет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E7904">
        <w:rPr>
          <w:rFonts w:ascii="Times New Roman" w:hAnsi="Times New Roman"/>
          <w:color w:val="000000"/>
          <w:sz w:val="28"/>
          <w:szCs w:val="28"/>
        </w:rPr>
        <w:t xml:space="preserve">дминистрация Верхнебуреинского муниципального района, определяется в соответствии с настоящим Положением. Размер предельного уровня соотношения средней заработной платы руководителей и средней заработной платы работников этих муниципальных учреждений района устанавливается органом местного самоуправления района. </w:t>
      </w:r>
    </w:p>
    <w:p w:rsidR="00F954E2" w:rsidRPr="00394792" w:rsidRDefault="00F954E2" w:rsidP="00CD0BA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4792">
        <w:rPr>
          <w:rFonts w:ascii="Times New Roman" w:hAnsi="Times New Roman"/>
          <w:color w:val="000000"/>
          <w:sz w:val="28"/>
          <w:szCs w:val="28"/>
        </w:rPr>
        <w:t>7. Штатное расписание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районного муниципального учреждения</w:t>
      </w:r>
      <w:r w:rsidRPr="00394792">
        <w:rPr>
          <w:rFonts w:ascii="Times New Roman" w:hAnsi="Times New Roman"/>
          <w:color w:val="000000"/>
          <w:sz w:val="28"/>
          <w:szCs w:val="28"/>
        </w:rPr>
        <w:t xml:space="preserve"> утверждается руководителем муниципального учреждения района и включает в себя 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792">
        <w:rPr>
          <w:rFonts w:ascii="Times New Roman" w:hAnsi="Times New Roman"/>
          <w:color w:val="000000"/>
          <w:sz w:val="28"/>
          <w:szCs w:val="28"/>
        </w:rPr>
        <w:t>должности служащих (профессий рабочих) муниципального учреждения.</w:t>
      </w:r>
    </w:p>
    <w:p w:rsidR="00F954E2" w:rsidRPr="00394792" w:rsidRDefault="00F954E2" w:rsidP="00CD0BA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4792">
        <w:rPr>
          <w:rFonts w:ascii="Times New Roman" w:hAnsi="Times New Roman"/>
          <w:color w:val="000000"/>
          <w:sz w:val="28"/>
          <w:szCs w:val="28"/>
        </w:rPr>
        <w:t xml:space="preserve">8. Главные распорядители средств </w:t>
      </w:r>
      <w:r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394792">
        <w:rPr>
          <w:rFonts w:ascii="Times New Roman" w:hAnsi="Times New Roman"/>
          <w:color w:val="000000"/>
          <w:sz w:val="28"/>
          <w:szCs w:val="28"/>
        </w:rPr>
        <w:t xml:space="preserve"> бюджета,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792">
        <w:rPr>
          <w:rFonts w:ascii="Times New Roman" w:hAnsi="Times New Roman"/>
          <w:color w:val="000000"/>
          <w:sz w:val="28"/>
          <w:szCs w:val="28"/>
        </w:rPr>
        <w:t>ведении которых находится муниципальные учреждения района, могут устанавливать предельную долю оплаты труда работников административно-управленческого и вспомогательного персонала в фонде оплаты труда муниципальных учреждений района (не более 40 процентов), а также перечень должностей, относимых к административно-управленческому и вспомогательному персоналу.</w:t>
      </w:r>
    </w:p>
    <w:p w:rsidR="00F954E2" w:rsidRPr="00394792" w:rsidRDefault="00F954E2" w:rsidP="00CD0BA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4792">
        <w:rPr>
          <w:rFonts w:ascii="Times New Roman" w:hAnsi="Times New Roman"/>
          <w:color w:val="000000"/>
          <w:sz w:val="28"/>
          <w:szCs w:val="28"/>
        </w:rPr>
        <w:t xml:space="preserve">К основному персоналу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394792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394792">
        <w:rPr>
          <w:rFonts w:ascii="Times New Roman" w:hAnsi="Times New Roman"/>
          <w:color w:val="000000"/>
          <w:sz w:val="28"/>
          <w:szCs w:val="28"/>
        </w:rPr>
        <w:t xml:space="preserve"> относятся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792">
        <w:rPr>
          <w:rFonts w:ascii="Times New Roman" w:hAnsi="Times New Roman"/>
          <w:color w:val="000000"/>
          <w:sz w:val="28"/>
          <w:szCs w:val="28"/>
        </w:rPr>
        <w:t>работники, непосредственно оказывающие услуги (выполняющие работы),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792">
        <w:rPr>
          <w:rFonts w:ascii="Times New Roman" w:hAnsi="Times New Roman"/>
          <w:color w:val="000000"/>
          <w:sz w:val="28"/>
          <w:szCs w:val="28"/>
        </w:rPr>
        <w:t>направленные на достижение целей деятельности, определенных 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792">
        <w:rPr>
          <w:rFonts w:ascii="Times New Roman" w:hAnsi="Times New Roman"/>
          <w:color w:val="000000"/>
          <w:sz w:val="28"/>
          <w:szCs w:val="28"/>
        </w:rPr>
        <w:t>муниципального учреждения района, а также их руководители.</w:t>
      </w:r>
    </w:p>
    <w:p w:rsidR="00F954E2" w:rsidRPr="00394792" w:rsidRDefault="00F954E2" w:rsidP="00CD0BA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4792">
        <w:rPr>
          <w:rFonts w:ascii="Times New Roman" w:hAnsi="Times New Roman"/>
          <w:color w:val="000000"/>
          <w:sz w:val="28"/>
          <w:szCs w:val="28"/>
        </w:rPr>
        <w:t>К вспомогательному персоналу муниципального учреждения района относятся работники, создающие условия для оказания услуг (выполнения работ), направленных на достижение целей деятельности, определенных уставом муниципального учреждения района, включая обслуживание здания и оборудования.</w:t>
      </w:r>
    </w:p>
    <w:p w:rsidR="00F954E2" w:rsidRPr="00394792" w:rsidRDefault="00F954E2" w:rsidP="00CD0BA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4792">
        <w:rPr>
          <w:rFonts w:ascii="Times New Roman" w:hAnsi="Times New Roman"/>
          <w:color w:val="000000"/>
          <w:sz w:val="28"/>
          <w:szCs w:val="28"/>
        </w:rPr>
        <w:t>К административно-управленческому персоналу муниципального учреждения района относятся работники, занятые управлением (организацией) оказания услуг (выполнения работ), а также работники, выполняющие административные функции, необходимые для обеспечения деятельности муниципального учреждения района.</w:t>
      </w:r>
      <w:bookmarkStart w:id="0" w:name="_GoBack"/>
      <w:bookmarkEnd w:id="0"/>
    </w:p>
    <w:p w:rsidR="00F954E2" w:rsidRPr="001E7904" w:rsidRDefault="00F954E2" w:rsidP="00CD0BA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5140">
        <w:rPr>
          <w:rFonts w:ascii="Times New Roman" w:hAnsi="Times New Roman"/>
          <w:color w:val="000000"/>
          <w:sz w:val="28"/>
          <w:szCs w:val="28"/>
        </w:rPr>
        <w:t xml:space="preserve">9. Фонд оплаты труда работников муниципального бюджетного и автономного учреждения района формируется исходя из объема средств, поступающих в установленном порядке муниципальному бюджетному и автономному </w:t>
      </w:r>
      <w:r w:rsidRPr="001E7904">
        <w:rPr>
          <w:rFonts w:ascii="Times New Roman" w:hAnsi="Times New Roman"/>
          <w:color w:val="000000"/>
          <w:sz w:val="28"/>
          <w:szCs w:val="28"/>
        </w:rPr>
        <w:t xml:space="preserve">учреждению района из районного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Pr="001E7904">
        <w:rPr>
          <w:rFonts w:ascii="Times New Roman" w:hAnsi="Times New Roman"/>
          <w:color w:val="000000"/>
          <w:sz w:val="28"/>
          <w:szCs w:val="28"/>
        </w:rPr>
        <w:t>и средств, поступающих от приносящей доход деятельности.</w:t>
      </w:r>
    </w:p>
    <w:p w:rsidR="00F954E2" w:rsidRDefault="00F954E2" w:rsidP="00CD0BA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4">
        <w:rPr>
          <w:rFonts w:ascii="Times New Roman" w:hAnsi="Times New Roman"/>
          <w:color w:val="000000"/>
          <w:sz w:val="28"/>
          <w:szCs w:val="28"/>
        </w:rPr>
        <w:t xml:space="preserve">Фонд оплаты труда работников муниципального казенного учреждения </w:t>
      </w:r>
      <w:r w:rsidRPr="000C5140">
        <w:rPr>
          <w:rFonts w:ascii="Times New Roman" w:hAnsi="Times New Roman"/>
          <w:color w:val="000000"/>
          <w:sz w:val="28"/>
          <w:szCs w:val="28"/>
        </w:rPr>
        <w:t>района формируется исходя из объема бюджетных ассигнований на обеспечение выполнения функций муниципального казенного учреждения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5140">
        <w:rPr>
          <w:rFonts w:ascii="Times New Roman" w:hAnsi="Times New Roman"/>
          <w:color w:val="000000"/>
          <w:sz w:val="28"/>
          <w:szCs w:val="28"/>
        </w:rPr>
        <w:t>и соответствующих лимитов бюджетных обязательств в части оплаты труда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5140">
        <w:rPr>
          <w:rFonts w:ascii="Times New Roman" w:hAnsi="Times New Roman"/>
          <w:color w:val="000000"/>
          <w:sz w:val="28"/>
          <w:szCs w:val="28"/>
        </w:rPr>
        <w:t>работников муниципального учреждения района.</w:t>
      </w:r>
    </w:p>
    <w:p w:rsidR="00F954E2" w:rsidRDefault="00F954E2" w:rsidP="00CD0BA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4E2" w:rsidRDefault="00F954E2" w:rsidP="005C2C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4E2" w:rsidRPr="000C5140" w:rsidRDefault="00F954E2" w:rsidP="00CD0BA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 </w:t>
      </w:r>
    </w:p>
    <w:p w:rsidR="00F954E2" w:rsidRPr="000C5140" w:rsidRDefault="00F954E2" w:rsidP="006B6AA5">
      <w:pPr>
        <w:pStyle w:val="ListParagraph"/>
        <w:widowControl w:val="0"/>
        <w:autoSpaceDE w:val="0"/>
        <w:autoSpaceDN w:val="0"/>
        <w:adjustRightInd w:val="0"/>
        <w:spacing w:before="200"/>
        <w:ind w:left="708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sectPr w:rsidR="00F954E2" w:rsidRPr="000C5140" w:rsidSect="00CD0BA3">
      <w:headerReference w:type="even" r:id="rId7"/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E2" w:rsidRDefault="00F954E2">
      <w:r>
        <w:separator/>
      </w:r>
    </w:p>
  </w:endnote>
  <w:endnote w:type="continuationSeparator" w:id="0">
    <w:p w:rsidR="00F954E2" w:rsidRDefault="00F9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E2" w:rsidRDefault="00F954E2">
      <w:r>
        <w:separator/>
      </w:r>
    </w:p>
  </w:footnote>
  <w:footnote w:type="continuationSeparator" w:id="0">
    <w:p w:rsidR="00F954E2" w:rsidRDefault="00F9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E2" w:rsidRDefault="00F954E2" w:rsidP="00350F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4E2" w:rsidRDefault="00F954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E2" w:rsidRDefault="00F954E2" w:rsidP="00350F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954E2" w:rsidRDefault="00F954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0C7447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46E5A"/>
    <w:rsid w:val="00261428"/>
    <w:rsid w:val="002635EB"/>
    <w:rsid w:val="0028693B"/>
    <w:rsid w:val="002C1EF0"/>
    <w:rsid w:val="002C6D04"/>
    <w:rsid w:val="00302896"/>
    <w:rsid w:val="0035003B"/>
    <w:rsid w:val="00350FA2"/>
    <w:rsid w:val="00382DBE"/>
    <w:rsid w:val="00394792"/>
    <w:rsid w:val="003B03F6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520264"/>
    <w:rsid w:val="00543924"/>
    <w:rsid w:val="00567BC0"/>
    <w:rsid w:val="00592B9C"/>
    <w:rsid w:val="00596B53"/>
    <w:rsid w:val="005A5E1B"/>
    <w:rsid w:val="005B3F52"/>
    <w:rsid w:val="005B4732"/>
    <w:rsid w:val="005B69C3"/>
    <w:rsid w:val="005C2C49"/>
    <w:rsid w:val="005C7334"/>
    <w:rsid w:val="005E69E3"/>
    <w:rsid w:val="005F4F47"/>
    <w:rsid w:val="006020EA"/>
    <w:rsid w:val="0061415F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93799"/>
    <w:rsid w:val="007972D8"/>
    <w:rsid w:val="007E2D29"/>
    <w:rsid w:val="00804B01"/>
    <w:rsid w:val="008253CF"/>
    <w:rsid w:val="0083440B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15CB7"/>
    <w:rsid w:val="00C16EE1"/>
    <w:rsid w:val="00C32631"/>
    <w:rsid w:val="00C638F4"/>
    <w:rsid w:val="00C90E96"/>
    <w:rsid w:val="00C95BD1"/>
    <w:rsid w:val="00CA1A0F"/>
    <w:rsid w:val="00CD0BA3"/>
    <w:rsid w:val="00CF03F6"/>
    <w:rsid w:val="00CF6C30"/>
    <w:rsid w:val="00D155F7"/>
    <w:rsid w:val="00D37621"/>
    <w:rsid w:val="00D43A17"/>
    <w:rsid w:val="00D72649"/>
    <w:rsid w:val="00D75365"/>
    <w:rsid w:val="00D76413"/>
    <w:rsid w:val="00DB2956"/>
    <w:rsid w:val="00DC7F3E"/>
    <w:rsid w:val="00DF3E87"/>
    <w:rsid w:val="00DF6758"/>
    <w:rsid w:val="00E2441C"/>
    <w:rsid w:val="00E305D1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844F2"/>
    <w:rsid w:val="00F91A83"/>
    <w:rsid w:val="00F954E2"/>
    <w:rsid w:val="00FB0DDE"/>
    <w:rsid w:val="00FC0F1C"/>
    <w:rsid w:val="00FE4D66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3E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4189F"/>
    <w:pPr>
      <w:ind w:left="720"/>
      <w:contextualSpacing/>
    </w:pPr>
  </w:style>
  <w:style w:type="paragraph" w:styleId="NoSpacing">
    <w:name w:val="No Spacing"/>
    <w:uiPriority w:val="99"/>
    <w:qFormat/>
    <w:rsid w:val="00CF6C30"/>
    <w:rPr>
      <w:lang w:eastAsia="en-US"/>
    </w:rPr>
  </w:style>
  <w:style w:type="paragraph" w:styleId="Header">
    <w:name w:val="header"/>
    <w:basedOn w:val="Normal"/>
    <w:link w:val="HeaderChar"/>
    <w:uiPriority w:val="99"/>
    <w:rsid w:val="00CD0B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D0BA3"/>
    <w:rPr>
      <w:rFonts w:cs="Times New Roman"/>
    </w:rPr>
  </w:style>
  <w:style w:type="table" w:styleId="TableGrid">
    <w:name w:val="Table Grid"/>
    <w:basedOn w:val="TableNormal"/>
    <w:uiPriority w:val="99"/>
    <w:locked/>
    <w:rsid w:val="00CD0BA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C7447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3292</TotalTime>
  <Pages>10</Pages>
  <Words>3091</Words>
  <Characters>17623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83</cp:revision>
  <cp:lastPrinted>2019-05-07T00:28:00Z</cp:lastPrinted>
  <dcterms:created xsi:type="dcterms:W3CDTF">2018-05-07T23:08:00Z</dcterms:created>
  <dcterms:modified xsi:type="dcterms:W3CDTF">2019-05-12T23:33:00Z</dcterms:modified>
</cp:coreProperties>
</file>