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D8" w:rsidRPr="00AE3CD8" w:rsidRDefault="00AE3CD8" w:rsidP="00AE3CD8">
      <w:pPr>
        <w:pStyle w:val="a3"/>
        <w:shd w:val="clear" w:color="auto" w:fill="FFFFFF"/>
        <w:contextualSpacing/>
        <w:jc w:val="center"/>
        <w:rPr>
          <w:b/>
          <w:sz w:val="28"/>
          <w:szCs w:val="28"/>
        </w:rPr>
      </w:pPr>
      <w:r>
        <w:rPr>
          <w:b/>
          <w:sz w:val="28"/>
          <w:szCs w:val="28"/>
          <w:shd w:val="clear" w:color="auto" w:fill="FFFFFF"/>
        </w:rPr>
        <w:t xml:space="preserve">Об обязанности граждан </w:t>
      </w:r>
      <w:r w:rsidR="00847468">
        <w:rPr>
          <w:b/>
          <w:sz w:val="28"/>
          <w:szCs w:val="28"/>
          <w:shd w:val="clear" w:color="auto" w:fill="FFFFFF"/>
        </w:rPr>
        <w:t>предоставить налоговую декларацию.</w:t>
      </w:r>
    </w:p>
    <w:p w:rsidR="00AE3CD8" w:rsidRDefault="00AE3CD8" w:rsidP="00AE3CD8">
      <w:pPr>
        <w:pStyle w:val="a3"/>
        <w:shd w:val="clear" w:color="auto" w:fill="FFFFFF"/>
        <w:contextualSpacing/>
        <w:rPr>
          <w:sz w:val="28"/>
          <w:szCs w:val="28"/>
        </w:rPr>
      </w:pPr>
    </w:p>
    <w:p w:rsidR="00AE3CD8" w:rsidRDefault="00AE3CD8" w:rsidP="00AE3CD8">
      <w:pPr>
        <w:pStyle w:val="a3"/>
        <w:shd w:val="clear" w:color="auto" w:fill="FFFFFF"/>
        <w:contextualSpacing/>
        <w:jc w:val="both"/>
        <w:rPr>
          <w:sz w:val="28"/>
          <w:szCs w:val="28"/>
        </w:rPr>
      </w:pPr>
      <w:r>
        <w:rPr>
          <w:sz w:val="28"/>
          <w:szCs w:val="28"/>
        </w:rPr>
        <w:tab/>
      </w:r>
      <w:r w:rsidRPr="00AE3CD8">
        <w:rPr>
          <w:sz w:val="28"/>
          <w:szCs w:val="28"/>
        </w:rPr>
        <w:t>С 01 января 2019 года началась декларационная компания - физическим лицам необходимо отчитаться о полученных в 2018 году доходах до 30 апреля 2019 года.</w:t>
      </w:r>
    </w:p>
    <w:p w:rsidR="00AE3CD8" w:rsidRDefault="00AE3CD8" w:rsidP="00AE3CD8">
      <w:pPr>
        <w:pStyle w:val="a3"/>
        <w:shd w:val="clear" w:color="auto" w:fill="FFFFFF"/>
        <w:contextualSpacing/>
        <w:jc w:val="both"/>
        <w:rPr>
          <w:sz w:val="28"/>
          <w:szCs w:val="28"/>
        </w:rPr>
      </w:pPr>
      <w:r>
        <w:rPr>
          <w:sz w:val="28"/>
          <w:szCs w:val="28"/>
        </w:rPr>
        <w:tab/>
      </w:r>
      <w:bookmarkStart w:id="0" w:name="_Hlk6667150"/>
      <w:r>
        <w:rPr>
          <w:sz w:val="28"/>
          <w:szCs w:val="28"/>
        </w:rPr>
        <w:t xml:space="preserve">Согласно ч.1 ст. 80 НК РФ </w:t>
      </w:r>
      <w:r w:rsidRPr="00AE3CD8">
        <w:rPr>
          <w:sz w:val="28"/>
          <w:szCs w:val="28"/>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bookmarkEnd w:id="0"/>
    <w:p w:rsidR="00AE3CD8" w:rsidRPr="00AE3CD8" w:rsidRDefault="00AE3CD8" w:rsidP="00AE3CD8">
      <w:pPr>
        <w:pStyle w:val="a3"/>
        <w:shd w:val="clear" w:color="auto" w:fill="FFFFFF"/>
        <w:contextualSpacing/>
        <w:jc w:val="both"/>
        <w:rPr>
          <w:sz w:val="28"/>
          <w:szCs w:val="28"/>
        </w:rPr>
      </w:pPr>
      <w:r w:rsidRPr="00AE3CD8">
        <w:rPr>
          <w:sz w:val="28"/>
          <w:szCs w:val="28"/>
        </w:rPr>
        <w:tab/>
        <w:t>В соответствии со статьей 229 Налогового кодекса Российской Федерации налоговая декларация представляется, в том числе физическими лицами:</w:t>
      </w:r>
    </w:p>
    <w:p w:rsidR="00AE3CD8" w:rsidRPr="00AE3CD8" w:rsidRDefault="00AE3CD8" w:rsidP="00AE3CD8">
      <w:pPr>
        <w:pStyle w:val="a3"/>
        <w:shd w:val="clear" w:color="auto" w:fill="FFFFFF"/>
        <w:contextualSpacing/>
        <w:jc w:val="both"/>
        <w:rPr>
          <w:sz w:val="28"/>
          <w:szCs w:val="28"/>
        </w:rPr>
      </w:pPr>
      <w:r w:rsidRPr="00AE3CD8">
        <w:rPr>
          <w:sz w:val="28"/>
          <w:szCs w:val="28"/>
        </w:rPr>
        <w:tab/>
        <w:t>- исходя из сумм вознаграждений, полученных от физических лиц и организаций, не являющихся налоговыми агентами, на основе заключенных трудовых договоров и договоров гражданско-правового характера, включая доходы по договорам найма или договорам аренды любого имущества;</w:t>
      </w:r>
    </w:p>
    <w:p w:rsidR="00AE3CD8" w:rsidRPr="00AE3CD8" w:rsidRDefault="00AE3CD8" w:rsidP="00AE3CD8">
      <w:pPr>
        <w:pStyle w:val="a3"/>
        <w:shd w:val="clear" w:color="auto" w:fill="FFFFFF"/>
        <w:contextualSpacing/>
        <w:jc w:val="both"/>
        <w:rPr>
          <w:sz w:val="28"/>
          <w:szCs w:val="28"/>
        </w:rPr>
      </w:pPr>
      <w:r w:rsidRPr="00AE3CD8">
        <w:rPr>
          <w:sz w:val="28"/>
          <w:szCs w:val="28"/>
        </w:rPr>
        <w:tab/>
        <w:t>- исходя из сумм, полученных от продажи имущества, принадлежащего этим лицам на праве собственности, и имущественных прав,</w:t>
      </w:r>
    </w:p>
    <w:p w:rsidR="00AE3CD8" w:rsidRPr="00AE3CD8" w:rsidRDefault="00AE3CD8" w:rsidP="00AE3CD8">
      <w:pPr>
        <w:pStyle w:val="a3"/>
        <w:shd w:val="clear" w:color="auto" w:fill="FFFFFF"/>
        <w:contextualSpacing/>
        <w:jc w:val="both"/>
        <w:rPr>
          <w:sz w:val="28"/>
          <w:szCs w:val="28"/>
        </w:rPr>
      </w:pPr>
      <w:r w:rsidRPr="00AE3CD8">
        <w:rPr>
          <w:sz w:val="28"/>
          <w:szCs w:val="28"/>
        </w:rPr>
        <w:tab/>
        <w:t>- налоговыми резидентами Российской Федерации, получающие доходы от источников, находящихся за пределами Российской Федерации,</w:t>
      </w:r>
    </w:p>
    <w:p w:rsidR="00AE3CD8" w:rsidRPr="00AE3CD8" w:rsidRDefault="00AE3CD8" w:rsidP="00AE3CD8">
      <w:pPr>
        <w:pStyle w:val="a3"/>
        <w:shd w:val="clear" w:color="auto" w:fill="FFFFFF"/>
        <w:contextualSpacing/>
        <w:jc w:val="both"/>
        <w:rPr>
          <w:sz w:val="28"/>
          <w:szCs w:val="28"/>
        </w:rPr>
      </w:pPr>
      <w:r w:rsidRPr="00AE3CD8">
        <w:rPr>
          <w:sz w:val="28"/>
          <w:szCs w:val="28"/>
        </w:rPr>
        <w:tab/>
        <w:t>- получающими другие доходы, при получении которых не был удержан налог налоговыми агентами;</w:t>
      </w:r>
    </w:p>
    <w:p w:rsidR="00AE3CD8" w:rsidRPr="00AE3CD8" w:rsidRDefault="00AE3CD8" w:rsidP="00AE3CD8">
      <w:pPr>
        <w:pStyle w:val="a3"/>
        <w:shd w:val="clear" w:color="auto" w:fill="FFFFFF"/>
        <w:contextualSpacing/>
        <w:jc w:val="both"/>
        <w:rPr>
          <w:sz w:val="28"/>
          <w:szCs w:val="28"/>
        </w:rPr>
      </w:pPr>
      <w:r w:rsidRPr="00AE3CD8">
        <w:rPr>
          <w:sz w:val="28"/>
          <w:szCs w:val="28"/>
        </w:rPr>
        <w:tab/>
        <w:t>- получающими выигрыши, выплачиваемые операторами лотерей, распространителями, организаторами азартных игр, проводимых в букмекерской конторе и тотализаторе, - исходя из сумм таких выигрышей, не превышающих 15 000 рублей, а также физические лица, получающие выигрыши, выплачиваемые организаторами азартных игр, не относящихся к азартным играм в букмекерской конторе и тотализаторе, - исходя из сумм таких выигрышей,</w:t>
      </w:r>
    </w:p>
    <w:p w:rsidR="00AE3CD8" w:rsidRPr="00AE3CD8" w:rsidRDefault="00AE3CD8" w:rsidP="00AE3CD8">
      <w:pPr>
        <w:pStyle w:val="a3"/>
        <w:shd w:val="clear" w:color="auto" w:fill="FFFFFF"/>
        <w:contextualSpacing/>
        <w:jc w:val="both"/>
        <w:rPr>
          <w:sz w:val="28"/>
          <w:szCs w:val="28"/>
        </w:rPr>
      </w:pPr>
      <w:r w:rsidRPr="00AE3CD8">
        <w:rPr>
          <w:sz w:val="28"/>
          <w:szCs w:val="28"/>
        </w:rPr>
        <w:tab/>
        <w:t>- получающими доходы в виде вознаграждения, выплачиваемого им как 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AE3CD8" w:rsidRPr="00AE3CD8" w:rsidRDefault="00AE3CD8" w:rsidP="00AE3CD8">
      <w:pPr>
        <w:pStyle w:val="a3"/>
        <w:shd w:val="clear" w:color="auto" w:fill="FFFFFF"/>
        <w:contextualSpacing/>
        <w:jc w:val="both"/>
        <w:rPr>
          <w:sz w:val="28"/>
          <w:szCs w:val="28"/>
        </w:rPr>
      </w:pPr>
      <w:r w:rsidRPr="00AE3CD8">
        <w:rPr>
          <w:sz w:val="28"/>
          <w:szCs w:val="28"/>
        </w:rPr>
        <w:tab/>
        <w:t>- получающими от физических лиц, не являющихся индивидуальными предпринимателями, доходы в денежной и натуральной формах в порядке дарения,</w:t>
      </w:r>
    </w:p>
    <w:p w:rsidR="00AE3CD8" w:rsidRPr="00AE3CD8" w:rsidRDefault="00AE3CD8" w:rsidP="00AE3CD8">
      <w:pPr>
        <w:pStyle w:val="a3"/>
        <w:shd w:val="clear" w:color="auto" w:fill="FFFFFF"/>
        <w:contextualSpacing/>
        <w:jc w:val="both"/>
        <w:rPr>
          <w:sz w:val="28"/>
          <w:szCs w:val="28"/>
        </w:rPr>
      </w:pPr>
      <w:r w:rsidRPr="00AE3CD8">
        <w:rPr>
          <w:sz w:val="28"/>
          <w:szCs w:val="28"/>
        </w:rPr>
        <w:tab/>
        <w:t>- получающие доходы в виде денежного эквивалента недвижимого имущества и (или) ценных бумаг, переданных на пополнение целевого капитала некоммерческих организаций.</w:t>
      </w:r>
    </w:p>
    <w:p w:rsidR="00AE3CD8" w:rsidRPr="00AE3CD8" w:rsidRDefault="00AE3CD8" w:rsidP="00AE3CD8">
      <w:pPr>
        <w:pStyle w:val="a3"/>
        <w:shd w:val="clear" w:color="auto" w:fill="FFFFFF"/>
        <w:contextualSpacing/>
        <w:jc w:val="both"/>
        <w:rPr>
          <w:sz w:val="28"/>
          <w:szCs w:val="28"/>
        </w:rPr>
      </w:pPr>
      <w:r w:rsidRPr="00AE3CD8">
        <w:rPr>
          <w:sz w:val="28"/>
          <w:szCs w:val="28"/>
        </w:rPr>
        <w:tab/>
        <w:t>Полученные гражданами доходы и исчисленный налог необходимо отразить в декларации 3-НДФЛ, форма которой утверждена приказом ФНС Росс</w:t>
      </w:r>
      <w:r>
        <w:rPr>
          <w:sz w:val="28"/>
          <w:szCs w:val="28"/>
        </w:rPr>
        <w:t>ии от 03.10.2018 № ММВ-7-11/569</w:t>
      </w:r>
      <w:r w:rsidRPr="00AE3CD8">
        <w:rPr>
          <w:sz w:val="28"/>
          <w:szCs w:val="28"/>
        </w:rPr>
        <w:t>.</w:t>
      </w:r>
    </w:p>
    <w:p w:rsidR="00AE3CD8" w:rsidRDefault="00AE3CD8" w:rsidP="00AE3CD8">
      <w:pPr>
        <w:pStyle w:val="a3"/>
        <w:shd w:val="clear" w:color="auto" w:fill="FFFFFF"/>
        <w:contextualSpacing/>
        <w:jc w:val="both"/>
        <w:rPr>
          <w:sz w:val="28"/>
          <w:szCs w:val="28"/>
        </w:rPr>
      </w:pPr>
      <w:r w:rsidRPr="00AE3CD8">
        <w:rPr>
          <w:sz w:val="28"/>
          <w:szCs w:val="28"/>
        </w:rPr>
        <w:lastRenderedPageBreak/>
        <w:tab/>
        <w:t>Налоговые декларации необходимо представлять в налоговый орган по месту своего учета (месту жительства).</w:t>
      </w:r>
    </w:p>
    <w:p w:rsidR="00AE3CD8" w:rsidRDefault="00AE3CD8" w:rsidP="00AE3CD8">
      <w:pPr>
        <w:pStyle w:val="a3"/>
        <w:shd w:val="clear" w:color="auto" w:fill="FFFFFF"/>
        <w:contextualSpacing/>
        <w:jc w:val="both"/>
        <w:rPr>
          <w:sz w:val="28"/>
          <w:szCs w:val="28"/>
        </w:rPr>
      </w:pPr>
      <w:r>
        <w:rPr>
          <w:sz w:val="28"/>
          <w:szCs w:val="28"/>
        </w:rPr>
        <w:tab/>
        <w:t>Вместе с тем согласно ч.2 ст.80 НК РФ</w:t>
      </w:r>
      <w:r w:rsidR="00085CBC">
        <w:rPr>
          <w:sz w:val="28"/>
          <w:szCs w:val="28"/>
        </w:rPr>
        <w:t xml:space="preserve"> н</w:t>
      </w:r>
      <w:bookmarkStart w:id="1" w:name="_GoBack"/>
      <w:bookmarkEnd w:id="1"/>
      <w:r w:rsidRPr="00AE3CD8">
        <w:rPr>
          <w:sz w:val="28"/>
          <w:szCs w:val="28"/>
        </w:rPr>
        <w:t>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специальных налоговых режимов,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AE3CD8" w:rsidRPr="00AE3CD8" w:rsidRDefault="00AE3CD8" w:rsidP="00AE3CD8">
      <w:pPr>
        <w:pStyle w:val="a3"/>
        <w:shd w:val="clear" w:color="auto" w:fill="FFFFFF"/>
        <w:contextualSpacing/>
        <w:jc w:val="both"/>
        <w:rPr>
          <w:sz w:val="28"/>
          <w:szCs w:val="28"/>
        </w:rPr>
      </w:pPr>
      <w:r w:rsidRPr="00AE3CD8">
        <w:rPr>
          <w:sz w:val="28"/>
          <w:szCs w:val="28"/>
        </w:rPr>
        <w:tab/>
        <w:t>Исчисленный в декларации налог необходимо уплатить не позднее 15.07.2019.</w:t>
      </w:r>
    </w:p>
    <w:p w:rsidR="00AE3CD8" w:rsidRPr="00AE3CD8" w:rsidRDefault="00AE3CD8" w:rsidP="00AE3CD8">
      <w:pPr>
        <w:pStyle w:val="a3"/>
        <w:shd w:val="clear" w:color="auto" w:fill="FFFFFF"/>
        <w:contextualSpacing/>
        <w:jc w:val="both"/>
        <w:rPr>
          <w:sz w:val="28"/>
          <w:szCs w:val="28"/>
        </w:rPr>
      </w:pPr>
      <w:r w:rsidRPr="00AE3CD8">
        <w:rPr>
          <w:sz w:val="28"/>
          <w:szCs w:val="28"/>
        </w:rPr>
        <w:tab/>
        <w:t>Статья 119 Налогового кодекса Российской Федерации предусматривает ответственность за непредставление в установленный законодательством о налогах и сборах срок налоговой декларации.</w:t>
      </w:r>
    </w:p>
    <w:p w:rsidR="00AE3CD8" w:rsidRPr="00AE3CD8" w:rsidRDefault="00AE3CD8" w:rsidP="00AE3CD8">
      <w:pPr>
        <w:pStyle w:val="a3"/>
        <w:shd w:val="clear" w:color="auto" w:fill="FFFFFF"/>
        <w:contextualSpacing/>
        <w:jc w:val="both"/>
        <w:rPr>
          <w:sz w:val="28"/>
          <w:szCs w:val="28"/>
        </w:rPr>
      </w:pPr>
      <w:r w:rsidRPr="00AE3CD8">
        <w:rPr>
          <w:sz w:val="28"/>
          <w:szCs w:val="28"/>
        </w:rPr>
        <w:tab/>
        <w:t>Данное нарушение 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AE3CD8" w:rsidRPr="00AE3CD8" w:rsidRDefault="00AE3CD8" w:rsidP="00AE3CD8">
      <w:pPr>
        <w:pStyle w:val="a3"/>
        <w:shd w:val="clear" w:color="auto" w:fill="FFFFFF"/>
        <w:contextualSpacing/>
        <w:rPr>
          <w:sz w:val="28"/>
          <w:szCs w:val="28"/>
        </w:rPr>
      </w:pPr>
      <w:r w:rsidRPr="00AE3CD8">
        <w:rPr>
          <w:sz w:val="28"/>
          <w:szCs w:val="28"/>
        </w:rPr>
        <w:tab/>
      </w:r>
    </w:p>
    <w:p w:rsidR="002B1C79" w:rsidRPr="00AE3CD8" w:rsidRDefault="002B1C79" w:rsidP="00AE3CD8">
      <w:pPr>
        <w:spacing w:line="240" w:lineRule="auto"/>
        <w:contextualSpacing/>
      </w:pPr>
    </w:p>
    <w:sectPr w:rsidR="002B1C79" w:rsidRPr="00AE3CD8" w:rsidSect="00134B6E">
      <w:pgSz w:w="11907" w:h="16840" w:code="9"/>
      <w:pgMar w:top="1418"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1E"/>
    <w:rsid w:val="00085CBC"/>
    <w:rsid w:val="000D181E"/>
    <w:rsid w:val="00134B6E"/>
    <w:rsid w:val="002B1C79"/>
    <w:rsid w:val="00847468"/>
    <w:rsid w:val="00AE3CD8"/>
    <w:rsid w:val="00C6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21C0B-2F24-4BA2-A3B7-91A84464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Шапка 1"/>
    <w:basedOn w:val="a"/>
    <w:link w:val="10"/>
    <w:autoRedefine/>
    <w:qFormat/>
    <w:rsid w:val="00C641AD"/>
    <w:pPr>
      <w:spacing w:after="0" w:line="240" w:lineRule="exact"/>
      <w:ind w:left="5387"/>
    </w:pPr>
    <w:rPr>
      <w:sz w:val="28"/>
      <w:szCs w:val="28"/>
    </w:rPr>
  </w:style>
  <w:style w:type="character" w:customStyle="1" w:styleId="10">
    <w:name w:val="Шапка 1 Знак"/>
    <w:basedOn w:val="a0"/>
    <w:link w:val="1"/>
    <w:rsid w:val="00C641AD"/>
    <w:rPr>
      <w:sz w:val="28"/>
      <w:szCs w:val="28"/>
    </w:rPr>
  </w:style>
  <w:style w:type="paragraph" w:styleId="a3">
    <w:name w:val="Normal (Web)"/>
    <w:basedOn w:val="a"/>
    <w:uiPriority w:val="99"/>
    <w:semiHidden/>
    <w:unhideWhenUsed/>
    <w:rsid w:val="00AE3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3CD8"/>
    <w:rPr>
      <w:color w:val="0000FF"/>
      <w:u w:val="single"/>
    </w:rPr>
  </w:style>
  <w:style w:type="paragraph" w:styleId="a5">
    <w:name w:val="Balloon Text"/>
    <w:basedOn w:val="a"/>
    <w:link w:val="a6"/>
    <w:uiPriority w:val="99"/>
    <w:semiHidden/>
    <w:unhideWhenUsed/>
    <w:rsid w:val="00085C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5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dc:creator>
  <cp:keywords/>
  <dc:description/>
  <cp:lastModifiedBy>Gleb</cp:lastModifiedBy>
  <cp:revision>4</cp:revision>
  <cp:lastPrinted>2019-05-27T08:48:00Z</cp:lastPrinted>
  <dcterms:created xsi:type="dcterms:W3CDTF">2019-04-20T04:32:00Z</dcterms:created>
  <dcterms:modified xsi:type="dcterms:W3CDTF">2019-05-27T08:48:00Z</dcterms:modified>
</cp:coreProperties>
</file>