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98" w:rsidRPr="005E5F98" w:rsidRDefault="005E5F98" w:rsidP="005E5F98">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sidRPr="005E5F98">
        <w:rPr>
          <w:rFonts w:ascii="Times New Roman" w:eastAsia="Times New Roman" w:hAnsi="Times New Roman" w:cs="Times New Roman"/>
          <w:b/>
          <w:bCs/>
          <w:sz w:val="28"/>
          <w:szCs w:val="28"/>
          <w:lang w:eastAsia="ru-RU"/>
        </w:rPr>
        <w:t>Срок под</w:t>
      </w:r>
      <w:bookmarkStart w:id="0" w:name="_GoBack"/>
      <w:bookmarkEnd w:id="0"/>
      <w:r w:rsidRPr="005E5F98">
        <w:rPr>
          <w:rFonts w:ascii="Times New Roman" w:eastAsia="Times New Roman" w:hAnsi="Times New Roman" w:cs="Times New Roman"/>
          <w:b/>
          <w:bCs/>
          <w:sz w:val="28"/>
          <w:szCs w:val="28"/>
          <w:lang w:eastAsia="ru-RU"/>
        </w:rPr>
        <w:t>ачи деклараций на предоставление социального налогового вычета</w:t>
      </w:r>
    </w:p>
    <w:p w:rsidR="005E5F98" w:rsidRDefault="005E5F98" w:rsidP="005E5F98">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p>
    <w:p w:rsidR="005E5F98" w:rsidRPr="005E5F98" w:rsidRDefault="005E5F98" w:rsidP="005E5F98">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E5F98">
        <w:rPr>
          <w:rFonts w:ascii="Times New Roman" w:eastAsia="Times New Roman" w:hAnsi="Times New Roman" w:cs="Times New Roman"/>
          <w:sz w:val="28"/>
          <w:szCs w:val="28"/>
          <w:lang w:eastAsia="ru-RU"/>
        </w:rPr>
        <w:t>Социальные налоговые вычеты, указанные в </w:t>
      </w:r>
      <w:proofErr w:type="spellStart"/>
      <w:r w:rsidRPr="005E5F98">
        <w:rPr>
          <w:rFonts w:ascii="Times New Roman" w:eastAsia="Times New Roman" w:hAnsi="Times New Roman" w:cs="Times New Roman"/>
          <w:sz w:val="28"/>
          <w:szCs w:val="28"/>
          <w:lang w:eastAsia="ru-RU"/>
        </w:rPr>
        <w:fldChar w:fldCharType="begin"/>
      </w:r>
      <w:r w:rsidRPr="005E5F98">
        <w:rPr>
          <w:rFonts w:ascii="Times New Roman" w:eastAsia="Times New Roman" w:hAnsi="Times New Roman" w:cs="Times New Roman"/>
          <w:sz w:val="28"/>
          <w:szCs w:val="28"/>
          <w:lang w:eastAsia="ru-RU"/>
        </w:rPr>
        <w:instrText xml:space="preserve"> HYPERLINK "http://base.garant.ru/10900200/2c2d4c47652499da777b2c19de85035c/" \l "p_625770542" </w:instrText>
      </w:r>
      <w:r w:rsidRPr="005E5F98">
        <w:rPr>
          <w:rFonts w:ascii="Times New Roman" w:eastAsia="Times New Roman" w:hAnsi="Times New Roman" w:cs="Times New Roman"/>
          <w:sz w:val="28"/>
          <w:szCs w:val="28"/>
          <w:lang w:eastAsia="ru-RU"/>
        </w:rPr>
        <w:fldChar w:fldCharType="separate"/>
      </w:r>
      <w:r w:rsidRPr="005E5F98">
        <w:rPr>
          <w:rStyle w:val="a3"/>
          <w:rFonts w:ascii="Times New Roman" w:eastAsia="Times New Roman" w:hAnsi="Times New Roman" w:cs="Times New Roman"/>
          <w:color w:val="auto"/>
          <w:sz w:val="28"/>
          <w:szCs w:val="28"/>
          <w:lang w:eastAsia="ru-RU"/>
        </w:rPr>
        <w:t>пп</w:t>
      </w:r>
      <w:proofErr w:type="spellEnd"/>
      <w:r w:rsidRPr="005E5F98">
        <w:rPr>
          <w:rStyle w:val="a3"/>
          <w:rFonts w:ascii="Times New Roman" w:eastAsia="Times New Roman" w:hAnsi="Times New Roman" w:cs="Times New Roman"/>
          <w:color w:val="auto"/>
          <w:sz w:val="28"/>
          <w:szCs w:val="28"/>
          <w:lang w:eastAsia="ru-RU"/>
        </w:rPr>
        <w:t>. 2-6 п. 1 ст. 219 НК РФ</w:t>
      </w:r>
      <w:r w:rsidRPr="005E5F98">
        <w:rPr>
          <w:rFonts w:ascii="Times New Roman" w:eastAsia="Times New Roman" w:hAnsi="Times New Roman" w:cs="Times New Roman"/>
          <w:sz w:val="28"/>
          <w:szCs w:val="28"/>
          <w:lang w:eastAsia="ru-RU"/>
        </w:rPr>
        <w:fldChar w:fldCharType="end"/>
      </w:r>
      <w:r w:rsidRPr="005E5F98">
        <w:rPr>
          <w:rFonts w:ascii="Times New Roman" w:eastAsia="Times New Roman" w:hAnsi="Times New Roman" w:cs="Times New Roman"/>
          <w:sz w:val="28"/>
          <w:szCs w:val="28"/>
          <w:lang w:eastAsia="ru-RU"/>
        </w:rPr>
        <w:t>, в отношении соответствующих затрат на обучение, лечение, пенсионные взносы, дополнительные страховые взносы на накопительную часть трудовой пенсии и прохождение независимой оценки своей квалификации (за исключением расходов на обучение детей налогоплательщика, указанных в </w:t>
      </w:r>
      <w:hyperlink r:id="rId4" w:anchor="p_625770542" w:history="1">
        <w:r w:rsidRPr="005E5F98">
          <w:rPr>
            <w:rStyle w:val="a3"/>
            <w:rFonts w:ascii="Times New Roman" w:eastAsia="Times New Roman" w:hAnsi="Times New Roman" w:cs="Times New Roman"/>
            <w:color w:val="auto"/>
            <w:sz w:val="28"/>
            <w:szCs w:val="28"/>
            <w:lang w:eastAsia="ru-RU"/>
          </w:rPr>
          <w:t>подп. 2 п. 1 ст. 219 НК РФ</w:t>
        </w:r>
      </w:hyperlink>
      <w:r w:rsidRPr="005E5F98">
        <w:rPr>
          <w:rFonts w:ascii="Times New Roman" w:eastAsia="Times New Roman" w:hAnsi="Times New Roman" w:cs="Times New Roman"/>
          <w:sz w:val="28"/>
          <w:szCs w:val="28"/>
          <w:lang w:eastAsia="ru-RU"/>
        </w:rPr>
        <w:t>, и расходов на дорогостоящее лечение, указанных в </w:t>
      </w:r>
      <w:hyperlink r:id="rId5" w:anchor="p_9028" w:history="1">
        <w:r w:rsidRPr="005E5F98">
          <w:rPr>
            <w:rStyle w:val="a3"/>
            <w:rFonts w:ascii="Times New Roman" w:eastAsia="Times New Roman" w:hAnsi="Times New Roman" w:cs="Times New Roman"/>
            <w:color w:val="auto"/>
            <w:sz w:val="28"/>
            <w:szCs w:val="28"/>
            <w:lang w:eastAsia="ru-RU"/>
          </w:rPr>
          <w:t>подп. 3 п. 1 ст. 219 НК РФ</w:t>
        </w:r>
      </w:hyperlink>
      <w:r w:rsidRPr="005E5F98">
        <w:rPr>
          <w:rFonts w:ascii="Times New Roman" w:eastAsia="Times New Roman" w:hAnsi="Times New Roman" w:cs="Times New Roman"/>
          <w:sz w:val="28"/>
          <w:szCs w:val="28"/>
          <w:lang w:eastAsia="ru-RU"/>
        </w:rPr>
        <w:t>), предоставляются в размере фактически произведенных расходов, но в совокупности не более 120 тыс. руб. в налоговом периоде.</w:t>
      </w:r>
    </w:p>
    <w:p w:rsidR="005E5F98" w:rsidRPr="005E5F98" w:rsidRDefault="005E5F98" w:rsidP="005E5F98">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sidRPr="005E5F98">
        <w:rPr>
          <w:rFonts w:ascii="Times New Roman" w:eastAsia="Times New Roman" w:hAnsi="Times New Roman" w:cs="Times New Roman"/>
          <w:sz w:val="28"/>
          <w:szCs w:val="28"/>
          <w:lang w:eastAsia="ru-RU"/>
        </w:rPr>
        <w:tab/>
      </w:r>
      <w:r w:rsidRPr="005E5F98">
        <w:rPr>
          <w:rFonts w:ascii="Times New Roman" w:eastAsia="Times New Roman" w:hAnsi="Times New Roman" w:cs="Times New Roman"/>
          <w:sz w:val="28"/>
          <w:szCs w:val="28"/>
          <w:lang w:eastAsia="ru-RU"/>
        </w:rPr>
        <w:t>При наличии у налогоплательщика в одном налоговом периоде (помимо расходов на свое обучение) других расходов, предусмотренных </w:t>
      </w:r>
      <w:proofErr w:type="spellStart"/>
      <w:r w:rsidRPr="005E5F98">
        <w:rPr>
          <w:rFonts w:ascii="Times New Roman" w:eastAsia="Times New Roman" w:hAnsi="Times New Roman" w:cs="Times New Roman"/>
          <w:sz w:val="28"/>
          <w:szCs w:val="28"/>
          <w:lang w:eastAsia="ru-RU"/>
        </w:rPr>
        <w:fldChar w:fldCharType="begin"/>
      </w:r>
      <w:r w:rsidRPr="005E5F98">
        <w:rPr>
          <w:rFonts w:ascii="Times New Roman" w:eastAsia="Times New Roman" w:hAnsi="Times New Roman" w:cs="Times New Roman"/>
          <w:sz w:val="28"/>
          <w:szCs w:val="28"/>
          <w:lang w:eastAsia="ru-RU"/>
        </w:rPr>
        <w:instrText xml:space="preserve"> HYPERLINK "http://base.garant.ru/10900200/2c2d4c47652499da777b2c19de85035c/" \l "p_625770542" </w:instrText>
      </w:r>
      <w:r w:rsidRPr="005E5F98">
        <w:rPr>
          <w:rFonts w:ascii="Times New Roman" w:eastAsia="Times New Roman" w:hAnsi="Times New Roman" w:cs="Times New Roman"/>
          <w:sz w:val="28"/>
          <w:szCs w:val="28"/>
          <w:lang w:eastAsia="ru-RU"/>
        </w:rPr>
        <w:fldChar w:fldCharType="separate"/>
      </w:r>
      <w:r w:rsidRPr="005E5F98">
        <w:rPr>
          <w:rStyle w:val="a3"/>
          <w:rFonts w:ascii="Times New Roman" w:eastAsia="Times New Roman" w:hAnsi="Times New Roman" w:cs="Times New Roman"/>
          <w:color w:val="auto"/>
          <w:sz w:val="28"/>
          <w:szCs w:val="28"/>
          <w:lang w:eastAsia="ru-RU"/>
        </w:rPr>
        <w:t>пп</w:t>
      </w:r>
      <w:proofErr w:type="spellEnd"/>
      <w:r w:rsidRPr="005E5F98">
        <w:rPr>
          <w:rStyle w:val="a3"/>
          <w:rFonts w:ascii="Times New Roman" w:eastAsia="Times New Roman" w:hAnsi="Times New Roman" w:cs="Times New Roman"/>
          <w:color w:val="auto"/>
          <w:sz w:val="28"/>
          <w:szCs w:val="28"/>
          <w:lang w:eastAsia="ru-RU"/>
        </w:rPr>
        <w:t>. 2-6 п. 1 ст. 219 НК РФ</w:t>
      </w:r>
      <w:r w:rsidRPr="005E5F98">
        <w:rPr>
          <w:rFonts w:ascii="Times New Roman" w:eastAsia="Times New Roman" w:hAnsi="Times New Roman" w:cs="Times New Roman"/>
          <w:sz w:val="28"/>
          <w:szCs w:val="28"/>
          <w:lang w:eastAsia="ru-RU"/>
        </w:rPr>
        <w:fldChar w:fldCharType="end"/>
      </w:r>
      <w:r w:rsidRPr="005E5F98">
        <w:rPr>
          <w:rFonts w:ascii="Times New Roman" w:eastAsia="Times New Roman" w:hAnsi="Times New Roman" w:cs="Times New Roman"/>
          <w:sz w:val="28"/>
          <w:szCs w:val="28"/>
          <w:lang w:eastAsia="ru-RU"/>
        </w:rPr>
        <w:t>, налогоплательщик самостоятельно выбирает, какие виды расходов и в каких суммах учитываются в пределах максимальной величины социального налогового вычета.</w:t>
      </w:r>
    </w:p>
    <w:p w:rsidR="005E5F98" w:rsidRPr="005E5F98" w:rsidRDefault="005E5F98" w:rsidP="005E5F98">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sidRPr="005E5F98">
        <w:rPr>
          <w:rFonts w:ascii="Times New Roman" w:eastAsia="Times New Roman" w:hAnsi="Times New Roman" w:cs="Times New Roman"/>
          <w:sz w:val="28"/>
          <w:szCs w:val="28"/>
          <w:lang w:eastAsia="ru-RU"/>
        </w:rPr>
        <w:tab/>
      </w:r>
      <w:r w:rsidRPr="005E5F98">
        <w:rPr>
          <w:rFonts w:ascii="Times New Roman" w:eastAsia="Times New Roman" w:hAnsi="Times New Roman" w:cs="Times New Roman"/>
          <w:sz w:val="28"/>
          <w:szCs w:val="28"/>
          <w:lang w:eastAsia="ru-RU"/>
        </w:rPr>
        <w:t>Таким образом, в случае если налогоплательщик намерен представить в налоговый орган по месту жительства налоговые декларации по НДФЛ с целью получения социального налогового вычета в связи с расходами на свое обучение, ему необходимо представить налоговые декларации и пакеты документов, указанных выше, включая справки по </w:t>
      </w:r>
      <w:hyperlink r:id="rId6" w:anchor="0212152" w:history="1">
        <w:r w:rsidRPr="005E5F98">
          <w:rPr>
            <w:rStyle w:val="a3"/>
            <w:rFonts w:ascii="Times New Roman" w:eastAsia="Times New Roman" w:hAnsi="Times New Roman" w:cs="Times New Roman"/>
            <w:color w:val="auto"/>
            <w:sz w:val="28"/>
            <w:szCs w:val="28"/>
            <w:lang w:eastAsia="ru-RU"/>
          </w:rPr>
          <w:t>2-НДФЛ</w:t>
        </w:r>
      </w:hyperlink>
      <w:r w:rsidRPr="005E5F98">
        <w:rPr>
          <w:rFonts w:ascii="Times New Roman" w:eastAsia="Times New Roman" w:hAnsi="Times New Roman" w:cs="Times New Roman"/>
          <w:sz w:val="28"/>
          <w:szCs w:val="28"/>
          <w:lang w:eastAsia="ru-RU"/>
        </w:rPr>
        <w:t>, полученные от налоговых агентов, за те налоговые периоды, за которые им будут представлены налоговые декларации.</w:t>
      </w:r>
    </w:p>
    <w:p w:rsidR="005E5F98" w:rsidRPr="005E5F98" w:rsidRDefault="005E5F98" w:rsidP="005E5F98">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sidRPr="005E5F98">
        <w:rPr>
          <w:rFonts w:ascii="Times New Roman" w:eastAsia="Times New Roman" w:hAnsi="Times New Roman" w:cs="Times New Roman"/>
          <w:sz w:val="28"/>
          <w:szCs w:val="28"/>
          <w:lang w:eastAsia="ru-RU"/>
        </w:rPr>
        <w:tab/>
      </w:r>
      <w:r w:rsidRPr="005E5F98">
        <w:rPr>
          <w:rFonts w:ascii="Times New Roman" w:eastAsia="Times New Roman" w:hAnsi="Times New Roman" w:cs="Times New Roman"/>
          <w:sz w:val="28"/>
          <w:szCs w:val="28"/>
          <w:lang w:eastAsia="ru-RU"/>
        </w:rPr>
        <w:t>Заявление о возврате суммы излишне уплаченного налога может быть подано в течение трех лет со дня уплаты указанной суммы. Иными словами, если налогоплательщик подал заявление о предоставлении вычета в 2018 году, то получить вычет из доходов предыдущих периодов он сможет только за 2017, 2016 и 2015 годы. При этом не имеет значения момент приобретения квартиры, поскольку ограничений на срок обращения за вычетом по этому основанию не установлено. Если же право на налоговый вычет возникло в 2018 году, то получить возврат налога за предшествующие этому году периоды не получится – его остаток может быть перенесен на последующие налоговые периоды до полного их использования. Это правило не распространяется на пенсионеров, которые при приобретении жилья имеют возможность перенести остаток имущественного вычета на три непосредственно предшествующих его возникновению налоговых периода (</w:t>
      </w:r>
      <w:hyperlink r:id="rId7" w:anchor="block_220010" w:history="1">
        <w:r w:rsidRPr="005E5F98">
          <w:rPr>
            <w:rStyle w:val="a3"/>
            <w:rFonts w:ascii="Times New Roman" w:eastAsia="Times New Roman" w:hAnsi="Times New Roman" w:cs="Times New Roman"/>
            <w:color w:val="auto"/>
            <w:sz w:val="28"/>
            <w:szCs w:val="28"/>
            <w:lang w:eastAsia="ru-RU"/>
          </w:rPr>
          <w:t>п. 10 ст. 220 НК РФ</w:t>
        </w:r>
      </w:hyperlink>
      <w:r w:rsidRPr="005E5F98">
        <w:rPr>
          <w:rFonts w:ascii="Times New Roman" w:eastAsia="Times New Roman" w:hAnsi="Times New Roman" w:cs="Times New Roman"/>
          <w:sz w:val="28"/>
          <w:szCs w:val="28"/>
          <w:lang w:eastAsia="ru-RU"/>
        </w:rPr>
        <w:t>).</w:t>
      </w:r>
    </w:p>
    <w:p w:rsidR="005E5F98" w:rsidRPr="005E5F98" w:rsidRDefault="005E5F98" w:rsidP="005E5F98">
      <w:pPr>
        <w:shd w:val="clear" w:color="auto" w:fill="FFFFFF"/>
        <w:spacing w:after="165" w:line="240" w:lineRule="auto"/>
        <w:contextualSpacing/>
        <w:mirrorIndents/>
        <w:jc w:val="both"/>
        <w:rPr>
          <w:rFonts w:ascii="Times New Roman" w:eastAsia="Times New Roman" w:hAnsi="Times New Roman" w:cs="Times New Roman"/>
          <w:sz w:val="28"/>
          <w:szCs w:val="28"/>
          <w:lang w:eastAsia="ru-RU"/>
        </w:rPr>
      </w:pPr>
      <w:r w:rsidRPr="005E5F98">
        <w:rPr>
          <w:rFonts w:ascii="Times New Roman" w:eastAsia="Times New Roman" w:hAnsi="Times New Roman" w:cs="Times New Roman"/>
          <w:sz w:val="28"/>
          <w:szCs w:val="28"/>
          <w:lang w:eastAsia="ru-RU"/>
        </w:rPr>
        <w:tab/>
      </w:r>
      <w:r w:rsidRPr="005E5F98">
        <w:rPr>
          <w:rFonts w:ascii="Times New Roman" w:eastAsia="Times New Roman" w:hAnsi="Times New Roman" w:cs="Times New Roman"/>
          <w:sz w:val="28"/>
          <w:szCs w:val="28"/>
          <w:lang w:eastAsia="ru-RU"/>
        </w:rPr>
        <w:t>При превышении в налоговом периоде суммы налоговых вычетов над суммой доходов, облагаемых по ставке 13%, в этом налоговом периоде налоговая база считается равной нулю. При этом разница между суммой налоговых вычетов в этом налоговом периоде и суммой доходов, облагаемых по ставке 13%, по общему правилу на следующий налоговый период не переносится. Перенести разницу между суммой налоговых вычетов и суммой налогооблагаемых доходов можно только по имущественным налоговым вычетам.</w:t>
      </w:r>
    </w:p>
    <w:sectPr w:rsidR="005E5F98" w:rsidRPr="005E5F98" w:rsidSect="00134B6E">
      <w:pgSz w:w="11907" w:h="16840" w:code="9"/>
      <w:pgMar w:top="1418" w:right="567"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AA"/>
    <w:rsid w:val="00134B6E"/>
    <w:rsid w:val="002B1C79"/>
    <w:rsid w:val="005E5F98"/>
    <w:rsid w:val="009370AA"/>
    <w:rsid w:val="00C6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84AD9-2968-4643-A448-D9A0DA8D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Шапка 1"/>
    <w:basedOn w:val="a"/>
    <w:link w:val="10"/>
    <w:autoRedefine/>
    <w:qFormat/>
    <w:rsid w:val="00C641AD"/>
    <w:pPr>
      <w:spacing w:after="0" w:line="240" w:lineRule="exact"/>
      <w:ind w:left="5387"/>
    </w:pPr>
    <w:rPr>
      <w:sz w:val="28"/>
      <w:szCs w:val="28"/>
    </w:rPr>
  </w:style>
  <w:style w:type="character" w:customStyle="1" w:styleId="10">
    <w:name w:val="Шапка 1 Знак"/>
    <w:basedOn w:val="a0"/>
    <w:link w:val="1"/>
    <w:rsid w:val="00C641AD"/>
    <w:rPr>
      <w:sz w:val="28"/>
      <w:szCs w:val="28"/>
    </w:rPr>
  </w:style>
  <w:style w:type="character" w:styleId="a3">
    <w:name w:val="Hyperlink"/>
    <w:basedOn w:val="a0"/>
    <w:uiPriority w:val="99"/>
    <w:semiHidden/>
    <w:unhideWhenUsed/>
    <w:rsid w:val="005E5F98"/>
    <w:rPr>
      <w:color w:val="0563C1" w:themeColor="hyperlink"/>
      <w:u w:val="single"/>
    </w:rPr>
  </w:style>
  <w:style w:type="paragraph" w:styleId="a4">
    <w:name w:val="Balloon Text"/>
    <w:basedOn w:val="a"/>
    <w:link w:val="a5"/>
    <w:uiPriority w:val="99"/>
    <w:semiHidden/>
    <w:unhideWhenUsed/>
    <w:rsid w:val="005E5F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5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10900200/a80995422893357c4dcb4f5e46e7b4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doc/forms/nal_dohod_fiz/" TargetMode="External"/><Relationship Id="rId5" Type="http://schemas.openxmlformats.org/officeDocument/2006/relationships/hyperlink" Target="http://base.garant.ru/10900200/2c2d4c47652499da777b2c19de85035c/" TargetMode="External"/><Relationship Id="rId4" Type="http://schemas.openxmlformats.org/officeDocument/2006/relationships/hyperlink" Target="http://base.garant.ru/10900200/2c2d4c47652499da777b2c19de85035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dc:creator>
  <cp:keywords/>
  <dc:description/>
  <cp:lastModifiedBy>Bit</cp:lastModifiedBy>
  <cp:revision>3</cp:revision>
  <cp:lastPrinted>2019-03-31T09:17:00Z</cp:lastPrinted>
  <dcterms:created xsi:type="dcterms:W3CDTF">2019-03-31T09:16:00Z</dcterms:created>
  <dcterms:modified xsi:type="dcterms:W3CDTF">2019-03-31T09:17:00Z</dcterms:modified>
</cp:coreProperties>
</file>